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4" w:rsidRPr="007D2DD4" w:rsidRDefault="007D2DD4" w:rsidP="007D2DD4">
      <w:pPr>
        <w:pStyle w:val="BodyText"/>
        <w:pBdr>
          <w:bottom w:val="single" w:sz="4" w:space="1" w:color="auto"/>
        </w:pBdr>
        <w:rPr>
          <w:rFonts w:ascii="Arial Black" w:hAnsi="Arial Black"/>
          <w:b/>
          <w:color w:val="980044"/>
          <w:sz w:val="20"/>
          <w:szCs w:val="20"/>
          <w:lang w:eastAsia="en-AU"/>
        </w:rPr>
      </w:pPr>
    </w:p>
    <w:p w:rsidR="00DB16F5" w:rsidRPr="007D2DD4" w:rsidRDefault="00D81E1E" w:rsidP="007D2DD4">
      <w:pPr>
        <w:pStyle w:val="Style1"/>
      </w:pPr>
      <w:r w:rsidRPr="007D2DD4">
        <w:t>Course Duration –</w:t>
      </w:r>
      <w:r w:rsidR="00187BE5" w:rsidRPr="007D2DD4">
        <w:tab/>
        <w:t>4</w:t>
      </w:r>
      <w:r w:rsidRPr="007D2DD4">
        <w:t xml:space="preserve"> Day</w:t>
      </w:r>
      <w:r w:rsidR="00DB16F5" w:rsidRPr="007D2DD4">
        <w:t>s</w:t>
      </w:r>
    </w:p>
    <w:p w:rsidR="00D81E1E" w:rsidRPr="00563190" w:rsidRDefault="00D81E1E" w:rsidP="007D2DD4">
      <w:pPr>
        <w:pStyle w:val="Style1"/>
        <w:rPr>
          <w:color w:val="BD472A" w:themeColor="accent6"/>
        </w:rPr>
      </w:pPr>
      <w:r w:rsidRPr="007D2DD4">
        <w:rPr>
          <w:rStyle w:val="Heading4Char"/>
          <w:rFonts w:ascii="LatoLatin Semibold" w:hAnsi="LatoLatin Semibold"/>
          <w:b w:val="0"/>
          <w:color w:val="1F1F5F"/>
        </w:rPr>
        <w:t>Course Cost</w:t>
      </w:r>
      <w:r w:rsidRPr="007D2DD4">
        <w:rPr>
          <w:b/>
        </w:rPr>
        <w:t xml:space="preserve"> –</w:t>
      </w:r>
      <w:r w:rsidRPr="007D2DD4">
        <w:t xml:space="preserve"> </w:t>
      </w:r>
      <w:r w:rsidRPr="00563190">
        <w:rPr>
          <w:color w:val="000000" w:themeColor="text1"/>
        </w:rPr>
        <w:t>$</w:t>
      </w:r>
      <w:r w:rsidR="00646D04">
        <w:t>13</w:t>
      </w:r>
      <w:r w:rsidR="0066793A">
        <w:t>5</w:t>
      </w:r>
      <w:r w:rsidR="000002AC" w:rsidRPr="007D2DD4">
        <w:t>0</w:t>
      </w:r>
      <w:r w:rsidRPr="007D2DD4">
        <w:t xml:space="preserve"> pp</w:t>
      </w:r>
    </w:p>
    <w:p w:rsidR="00D81E1E" w:rsidRPr="00625A3D" w:rsidRDefault="00C43430" w:rsidP="007D2DD4">
      <w:pPr>
        <w:pStyle w:val="Style1"/>
      </w:pPr>
      <w:r>
        <w:t>C</w:t>
      </w:r>
      <w:r w:rsidR="00D81E1E" w:rsidRPr="00625A3D">
        <w:t>F level Alignment</w:t>
      </w:r>
    </w:p>
    <w:p w:rsidR="00D81E1E" w:rsidRDefault="00D81E1E" w:rsidP="00625A3D">
      <w:pPr>
        <w:pStyle w:val="Heading4"/>
        <w:rPr>
          <w:color w:val="8D351F" w:themeColor="accent6" w:themeShade="BF"/>
        </w:rPr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33C4E4C4" wp14:editId="23890E05">
                <wp:extent cx="6120130" cy="304800"/>
                <wp:effectExtent l="0" t="0" r="13970" b="19050"/>
                <wp:docPr id="1" name="Diagram 1" title="CLF LEVEL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04800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2880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C4343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</w:t>
                              </w:r>
                              <w:r w:rsidR="00D81E1E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F 1-4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1512088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5-7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021305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7-9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4530513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10+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4E4C4" id="Diagram 1" o:spid="_x0000_s1026" alt="Title: CLF LEVEL ALIGNMENT" style="width:481.9pt;height:24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">
                <v:rect id="Rectangle 3" o:spid="_x0000_s1027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/>
                </v:rect>
                <v:shape id="Freeform 4" o:spid="_x0000_s1028" style="position:absolute;left:28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C43430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</w:t>
                        </w:r>
                        <w:r w:rsidR="00D81E1E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F 1-4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5" o:spid="_x0000_s1029" style="position:absolute;left:15120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5-7</w:t>
                        </w:r>
                      </w:p>
                    </w:txbxContent>
                  </v:textbox>
                </v:shape>
                <v:shape id="Freeform 6" o:spid="_x0000_s1030" style="position:absolute;left:30213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7-9</w:t>
                        </w:r>
                      </w:p>
                    </w:txbxContent>
                  </v:textbox>
                </v:shape>
                <v:shape id="Freeform 7" o:spid="_x0000_s1031" style="position:absolute;left:45305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10+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2DD4" w:rsidRPr="007D2DD4" w:rsidRDefault="007D2DD4" w:rsidP="007D2DD4">
      <w:pPr>
        <w:pStyle w:val="Style1"/>
        <w:rPr>
          <w:noProof/>
        </w:rPr>
      </w:pPr>
      <w:r>
        <w:rPr>
          <w:noProof/>
        </w:rPr>
        <w:t>Middle Manager Development Framework Alignment</w:t>
      </w:r>
    </w:p>
    <w:p w:rsidR="00D81E1E" w:rsidRPr="00914871" w:rsidRDefault="00D81E1E" w:rsidP="00427C76">
      <w:pPr>
        <w:pStyle w:val="Heading4"/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5BEB8EFC" wp14:editId="76D94A16">
                <wp:extent cx="6120130" cy="297873"/>
                <wp:effectExtent l="0" t="0" r="13970" b="26035"/>
                <wp:docPr id="8" name="Diagram 1" title="MMDF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97873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879" y="0"/>
                            <a:ext cx="214106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Pr="00EC5949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EC594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Self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792482" y="0"/>
                            <a:ext cx="250947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0D00F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Managing the Business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2" name="Freeform 12" title="MMDF ALIGNMENT"/>
                        <wps:cNvSpPr/>
                        <wps:spPr>
                          <a:xfrm>
                            <a:off x="4077017" y="0"/>
                            <a:ext cx="208771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the Team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B8EFC" id="_x0000_s1032" alt="Title: MMDF Alignment" style="width:481.9pt;height:23.45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">
                <v:rect id="Rectangle 9" o:spid="_x0000_s1033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/>
                </v:rect>
                <v:shape id="Freeform 10" o:spid="_x0000_s1034" style="position:absolute;left:28;width:21411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1070535,0;2141069,180973;1070535,361946;0,180973;0,0;1910000,0;2141069,180973;1910000,361946;0,361946;231069,180973;0,0" o:connectangles="270,0,90,180,0,0,0,0,0,0,0" textboxrect="0,0,1676902,361950"/>
                  <v:textbox inset="6.58292mm,.51867mm,5.54556mm,.51867mm">
                    <w:txbxContent>
                      <w:p w:rsidR="00D81E1E" w:rsidRPr="00EC5949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EC594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Self </w:t>
                        </w:r>
                      </w:p>
                    </w:txbxContent>
                  </v:textbox>
                </v:shape>
                <v:shape id="Freeform 11" o:spid="_x0000_s1035" style="position:absolute;left:17924;width:25095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1254737,0;2509473,180973;1254737,361946;0,180973;0,0;2238645,0;2509473,180973;2238645,361946;0,361946;270828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0D00F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Managing the Business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40770;width:20877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" adj="-11796480,,5400" path="m,l1495927,r180975,180975l1495927,361950,,361950,180975,180975,,xe" fillcolor="#9c9cb0" strokecolor="white" strokeweight=".70561mm">
                  <v:fill color2="#e2e2e7" rotate="t" angle="45" colors="0 #9c9cb0;.5 #c3c3ce;1 #e2e2e7" focus="100%" type="gradient"/>
                  <v:stroke joinstyle="miter"/>
                  <v:formulas/>
                  <v:path arrowok="t" o:connecttype="custom" o:connectlocs="1043857,0;2087713,180973;1043857,361946;0,180973;0,0;1862402,0;2087713,180973;1862402,361946;0,361946;225311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the Team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433157" w:rsidRDefault="00D81E1E" w:rsidP="007D2DD4">
      <w:pPr>
        <w:pStyle w:val="Style1"/>
      </w:pPr>
      <w:r w:rsidRPr="00433157">
        <w:t>Overview</w:t>
      </w:r>
    </w:p>
    <w:p w:rsidR="00187BE5" w:rsidRPr="00E77563" w:rsidRDefault="00187BE5" w:rsidP="00187BE5">
      <w:pPr>
        <w:jc w:val="both"/>
        <w:rPr>
          <w:rFonts w:ascii="Lato" w:eastAsiaTheme="minorHAnsi" w:hAnsi="Lato" w:cs="Arial"/>
          <w:sz w:val="24"/>
          <w:szCs w:val="24"/>
        </w:rPr>
      </w:pPr>
      <w:r w:rsidRPr="00E77563">
        <w:rPr>
          <w:rFonts w:ascii="Lato" w:eastAsiaTheme="minorHAnsi" w:hAnsi="Lato" w:cs="Arial"/>
          <w:sz w:val="24"/>
          <w:szCs w:val="24"/>
        </w:rPr>
        <w:t>The Foundations of Public Sector Governance course assist</w:t>
      </w:r>
      <w:r w:rsidR="00A7644C">
        <w:rPr>
          <w:rFonts w:ascii="Lato" w:eastAsiaTheme="minorHAnsi" w:hAnsi="Lato" w:cs="Arial"/>
          <w:sz w:val="24"/>
          <w:szCs w:val="24"/>
        </w:rPr>
        <w:t>s</w:t>
      </w:r>
      <w:r w:rsidRPr="00E77563">
        <w:rPr>
          <w:rFonts w:ascii="Lato" w:eastAsiaTheme="minorHAnsi" w:hAnsi="Lato" w:cs="Arial"/>
          <w:sz w:val="24"/>
          <w:szCs w:val="24"/>
        </w:rPr>
        <w:t xml:space="preserve"> public sector employees </w:t>
      </w:r>
      <w:r w:rsidR="00A7644C">
        <w:rPr>
          <w:rFonts w:ascii="Lato" w:eastAsiaTheme="minorHAnsi" w:hAnsi="Lato" w:cs="Arial"/>
          <w:sz w:val="24"/>
          <w:szCs w:val="24"/>
        </w:rPr>
        <w:t xml:space="preserve">to </w:t>
      </w:r>
      <w:r w:rsidRPr="00E77563">
        <w:rPr>
          <w:rFonts w:ascii="Lato" w:eastAsiaTheme="minorHAnsi" w:hAnsi="Lato" w:cs="Arial"/>
          <w:sz w:val="24"/>
          <w:szCs w:val="24"/>
        </w:rPr>
        <w:t>understand the context within which they operate. This context is constrained by political, institutional,</w:t>
      </w:r>
      <w:r w:rsidR="004E4E6E">
        <w:rPr>
          <w:rFonts w:ascii="Lato" w:eastAsiaTheme="minorHAnsi" w:hAnsi="Lato" w:cs="Arial"/>
          <w:sz w:val="24"/>
          <w:szCs w:val="24"/>
        </w:rPr>
        <w:t xml:space="preserve"> </w:t>
      </w:r>
      <w:r w:rsidRPr="00E77563">
        <w:rPr>
          <w:rFonts w:ascii="Lato" w:eastAsiaTheme="minorHAnsi" w:hAnsi="Lato" w:cs="Arial"/>
          <w:sz w:val="24"/>
          <w:szCs w:val="24"/>
        </w:rPr>
        <w:t xml:space="preserve">and legislative processes and conventions that are fundamental to good governance. </w:t>
      </w:r>
    </w:p>
    <w:p w:rsidR="00187BE5" w:rsidRDefault="00187BE5" w:rsidP="00187BE5">
      <w:pPr>
        <w:jc w:val="both"/>
        <w:rPr>
          <w:rFonts w:ascii="Lato" w:eastAsiaTheme="minorHAnsi" w:hAnsi="Lato" w:cs="Arial"/>
          <w:sz w:val="24"/>
          <w:szCs w:val="24"/>
        </w:rPr>
      </w:pPr>
      <w:r w:rsidRPr="00E77563">
        <w:rPr>
          <w:rFonts w:ascii="Lato" w:eastAsiaTheme="minorHAnsi" w:hAnsi="Lato" w:cs="Arial"/>
          <w:sz w:val="24"/>
          <w:szCs w:val="24"/>
        </w:rPr>
        <w:t>Developing your understanding of the context and influ</w:t>
      </w:r>
      <w:r w:rsidR="00A7644C">
        <w:rPr>
          <w:rFonts w:ascii="Lato" w:eastAsiaTheme="minorHAnsi" w:hAnsi="Lato" w:cs="Arial"/>
          <w:sz w:val="24"/>
          <w:szCs w:val="24"/>
        </w:rPr>
        <w:t>ence of government environments;</w:t>
      </w:r>
      <w:r w:rsidRPr="00E77563">
        <w:rPr>
          <w:rFonts w:ascii="Lato" w:eastAsiaTheme="minorHAnsi" w:hAnsi="Lato" w:cs="Arial"/>
          <w:sz w:val="24"/>
          <w:szCs w:val="24"/>
        </w:rPr>
        <w:t xml:space="preserve"> the requirements of public sector governance</w:t>
      </w:r>
      <w:r w:rsidR="00A7644C">
        <w:rPr>
          <w:rFonts w:ascii="Lato" w:eastAsiaTheme="minorHAnsi" w:hAnsi="Lato" w:cs="Arial"/>
          <w:sz w:val="24"/>
          <w:szCs w:val="24"/>
        </w:rPr>
        <w:t>;</w:t>
      </w:r>
      <w:r w:rsidRPr="00E77563">
        <w:rPr>
          <w:rFonts w:ascii="Lato" w:eastAsiaTheme="minorHAnsi" w:hAnsi="Lato" w:cs="Arial"/>
          <w:sz w:val="24"/>
          <w:szCs w:val="24"/>
        </w:rPr>
        <w:t xml:space="preserve"> and your role as a NTPS employee will increase your capacity and effectiveness to best deliver public value.</w:t>
      </w:r>
    </w:p>
    <w:p w:rsidR="00D81E1E" w:rsidRPr="00433157" w:rsidRDefault="00D81E1E" w:rsidP="007D2DD4">
      <w:pPr>
        <w:pStyle w:val="Style1"/>
      </w:pPr>
      <w:r w:rsidRPr="00433157">
        <w:t xml:space="preserve">Who should attend this course? </w:t>
      </w:r>
    </w:p>
    <w:p w:rsidR="00646719" w:rsidRDefault="00F72822" w:rsidP="00646719">
      <w:pPr>
        <w:pStyle w:val="Heading2"/>
        <w:jc w:val="both"/>
        <w:rPr>
          <w:rFonts w:ascii="Lato" w:eastAsiaTheme="minorHAnsi" w:hAnsi="Lato" w:cs="Times New Roman"/>
          <w:b w:val="0"/>
          <w:color w:val="auto"/>
          <w:sz w:val="24"/>
          <w:szCs w:val="24"/>
        </w:rPr>
      </w:pPr>
      <w:r>
        <w:rPr>
          <w:rFonts w:ascii="Lato" w:eastAsiaTheme="minorHAnsi" w:hAnsi="Lato" w:cs="Times New Roman"/>
          <w:b w:val="0"/>
          <w:color w:val="auto"/>
          <w:sz w:val="24"/>
          <w:szCs w:val="24"/>
        </w:rPr>
        <w:t xml:space="preserve">All NTPS </w:t>
      </w:r>
      <w:r w:rsidRPr="00F72822">
        <w:rPr>
          <w:rFonts w:ascii="Lato" w:eastAsiaTheme="minorHAnsi" w:hAnsi="Lato" w:cs="Times New Roman"/>
          <w:b w:val="0"/>
          <w:color w:val="auto"/>
          <w:sz w:val="24"/>
          <w:szCs w:val="24"/>
        </w:rPr>
        <w:t>employees</w:t>
      </w:r>
      <w:r w:rsidR="004E4E6E">
        <w:rPr>
          <w:rFonts w:ascii="Lato" w:eastAsiaTheme="minorHAnsi" w:hAnsi="Lato" w:cs="Times New Roman"/>
          <w:b w:val="0"/>
          <w:color w:val="auto"/>
          <w:sz w:val="24"/>
          <w:szCs w:val="24"/>
        </w:rPr>
        <w:t xml:space="preserve">. </w:t>
      </w:r>
      <w:r w:rsidRPr="00A7644C">
        <w:rPr>
          <w:rFonts w:ascii="Lato" w:eastAsiaTheme="minorHAnsi" w:hAnsi="Lato" w:cs="Times New Roman"/>
          <w:b w:val="0"/>
          <w:color w:val="auto"/>
          <w:sz w:val="24"/>
          <w:szCs w:val="24"/>
        </w:rPr>
        <w:t>This program builds a foundation of understanding of the context of government within which public sector employees operate.</w:t>
      </w:r>
    </w:p>
    <w:p w:rsidR="005F059A" w:rsidRDefault="005F059A" w:rsidP="007D2DD4">
      <w:pPr>
        <w:pStyle w:val="Style1"/>
      </w:pPr>
      <w:r>
        <w:t>Topic Covered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Systems of Government fundamentals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The public service in Australia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NT Government fundamentals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Structure of Northern Territory Public Sector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 xml:space="preserve">Interactions within NT Government 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The Northern Territory Public Service (NTPS)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NT governance in Government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Whole of Government perspective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NTPS professional practice</w:t>
      </w:r>
    </w:p>
    <w:p w:rsidR="00187BE5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Machinery of Government – cycles and processes</w:t>
      </w:r>
    </w:p>
    <w:p w:rsidR="00DE3386" w:rsidRPr="00433157" w:rsidRDefault="00DE3386" w:rsidP="007D2DD4">
      <w:pPr>
        <w:pStyle w:val="Style1"/>
      </w:pPr>
      <w:r w:rsidRPr="00433157">
        <w:lastRenderedPageBreak/>
        <w:t>Learning Outcomes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 xml:space="preserve">Understand the role of Australian political institutions and their impact on the role of </w:t>
      </w:r>
      <w:r>
        <w:rPr>
          <w:rFonts w:ascii="Lato" w:hAnsi="Lato"/>
          <w:sz w:val="24"/>
          <w:szCs w:val="24"/>
        </w:rPr>
        <w:t xml:space="preserve">the </w:t>
      </w:r>
      <w:r w:rsidRPr="00E77563">
        <w:rPr>
          <w:rFonts w:ascii="Lato" w:hAnsi="Lato"/>
          <w:sz w:val="24"/>
          <w:szCs w:val="24"/>
        </w:rPr>
        <w:t>public sector</w:t>
      </w:r>
      <w:bookmarkStart w:id="0" w:name="_GoBack"/>
      <w:bookmarkEnd w:id="0"/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Analyse frameworks established to ensure govern</w:t>
      </w:r>
      <w:r>
        <w:rPr>
          <w:rFonts w:ascii="Lato" w:hAnsi="Lato"/>
          <w:sz w:val="24"/>
          <w:szCs w:val="24"/>
        </w:rPr>
        <w:t>ment is responsive, responsible</w:t>
      </w:r>
      <w:r w:rsidRPr="00E77563">
        <w:rPr>
          <w:rFonts w:ascii="Lato" w:hAnsi="Lato"/>
          <w:sz w:val="24"/>
          <w:szCs w:val="24"/>
        </w:rPr>
        <w:t xml:space="preserve"> and accountable when delivering a service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rFonts w:ascii="Lato" w:hAnsi="Lato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Understand the governance framework that underpins the NTPS (including accountability reporting mechanisms)</w:t>
      </w:r>
    </w:p>
    <w:p w:rsidR="00187BE5" w:rsidRPr="00E77563" w:rsidRDefault="00187BE5" w:rsidP="00187BE5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Understand the working relationships between the public sector, Ministers, Members of Parliament (Parliament in Context)</w:t>
      </w:r>
    </w:p>
    <w:p w:rsidR="00273AA7" w:rsidRPr="00E82F1A" w:rsidRDefault="00273AA7" w:rsidP="007D2DD4">
      <w:pPr>
        <w:pStyle w:val="Style1"/>
      </w:pPr>
      <w:r w:rsidRPr="00E82F1A">
        <w:t>Prerequisite</w:t>
      </w:r>
    </w:p>
    <w:p w:rsidR="00187BE5" w:rsidRDefault="00187BE5" w:rsidP="00187BE5">
      <w:pPr>
        <w:jc w:val="both"/>
        <w:rPr>
          <w:rStyle w:val="Heading2Char"/>
          <w:rFonts w:ascii="Lato" w:hAnsi="Lato"/>
          <w:b w:val="0"/>
          <w:bCs w:val="0"/>
          <w:sz w:val="24"/>
          <w:szCs w:val="24"/>
        </w:rPr>
      </w:pPr>
      <w:r w:rsidRPr="00E77563">
        <w:rPr>
          <w:rFonts w:ascii="Lato" w:hAnsi="Lato"/>
          <w:sz w:val="24"/>
          <w:szCs w:val="24"/>
        </w:rPr>
        <w:t>Please bring a copy of your Role Description</w:t>
      </w:r>
      <w:r w:rsidRPr="00E77563">
        <w:rPr>
          <w:rStyle w:val="Heading2Char"/>
          <w:rFonts w:ascii="Lato" w:hAnsi="Lato"/>
          <w:b w:val="0"/>
          <w:sz w:val="24"/>
          <w:szCs w:val="24"/>
        </w:rPr>
        <w:t xml:space="preserve"> </w:t>
      </w:r>
    </w:p>
    <w:p w:rsidR="009B015B" w:rsidRDefault="009B015B" w:rsidP="007D2DD4">
      <w:pPr>
        <w:pStyle w:val="Style1"/>
      </w:pPr>
      <w:r>
        <w:t>Middle Manager Development Framework Alignment</w:t>
      </w:r>
    </w:p>
    <w:p w:rsidR="00DB16F5" w:rsidRPr="008E4517" w:rsidRDefault="00187BE5" w:rsidP="00DB16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>
        <w:rPr>
          <w:rFonts w:ascii="Lato" w:eastAsiaTheme="minorHAnsi" w:hAnsi="Lato" w:cs="Arial"/>
        </w:rPr>
        <w:t>Foundations of Public Sector Governance</w:t>
      </w:r>
    </w:p>
    <w:p w:rsidR="006A03B9" w:rsidRDefault="006A03B9" w:rsidP="007D2DD4">
      <w:pPr>
        <w:pStyle w:val="Style1"/>
      </w:pPr>
    </w:p>
    <w:p w:rsidR="000144CD" w:rsidRPr="000D00F9" w:rsidRDefault="000144CD" w:rsidP="007D2DD4">
      <w:pPr>
        <w:pStyle w:val="Style1"/>
      </w:pPr>
      <w:r w:rsidRPr="000D00F9">
        <w:t xml:space="preserve">To find out more about this course contact: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Office of the Commissioner for Public Employment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>Phone: (08) 8999 3708</w:t>
      </w:r>
    </w:p>
    <w:p w:rsidR="000144CD" w:rsidRPr="007D2DD4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color w:val="980044"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Email: </w:t>
      </w:r>
      <w:r w:rsidRPr="007D2DD4">
        <w:rPr>
          <w:rStyle w:val="Hyperlink"/>
          <w:rFonts w:ascii="Lato" w:hAnsi="Lato"/>
          <w:color w:val="980044"/>
          <w:sz w:val="24"/>
          <w:szCs w:val="24"/>
          <w:lang w:eastAsia="en-AU"/>
        </w:rPr>
        <w:t>swpd.ocpe@nt.gov.au</w:t>
      </w:r>
      <w:r w:rsidRPr="007D2DD4">
        <w:rPr>
          <w:rFonts w:ascii="Lato" w:eastAsiaTheme="majorEastAsia" w:hAnsi="Lato"/>
          <w:bCs/>
          <w:color w:val="980044"/>
          <w:kern w:val="32"/>
          <w:sz w:val="24"/>
          <w:szCs w:val="24"/>
          <w:lang w:eastAsia="en-AU"/>
        </w:rPr>
        <w:t xml:space="preserve">   </w:t>
      </w:r>
    </w:p>
    <w:sectPr w:rsidR="000144CD" w:rsidRPr="007D2DD4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05" w:rsidRDefault="00430105" w:rsidP="007332FF">
      <w:r>
        <w:separator/>
      </w:r>
    </w:p>
  </w:endnote>
  <w:endnote w:type="continuationSeparator" w:id="0">
    <w:p w:rsidR="00430105" w:rsidRDefault="0043010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 Semibold">
    <w:panose1 w:val="020F0502020204030203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A3" w:rsidRDefault="00DE0FA3" w:rsidP="00DE0FA3">
    <w:pPr>
      <w:spacing w:after="0"/>
      <w:rPr>
        <w:rStyle w:val="PageNumber"/>
      </w:rPr>
    </w:pPr>
  </w:p>
  <w:p w:rsidR="00DE0FA3" w:rsidRDefault="00DE0FA3" w:rsidP="00DE0FA3">
    <w:pPr>
      <w:pBdr>
        <w:top w:val="single" w:sz="4" w:space="1" w:color="auto"/>
      </w:pBdr>
      <w:spacing w:after="0"/>
      <w:rPr>
        <w:rStyle w:val="PageNumber"/>
      </w:rPr>
    </w:pPr>
  </w:p>
  <w:p w:rsidR="00DE0FA3" w:rsidRDefault="00DE0FA3" w:rsidP="00DE0FA3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2336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DE0FA3" w:rsidRDefault="00C43430" w:rsidP="00DE0FA3">
    <w:pPr>
      <w:spacing w:after="0"/>
      <w:rPr>
        <w:rStyle w:val="PageNumber"/>
      </w:rPr>
    </w:pPr>
    <w:r>
      <w:rPr>
        <w:rStyle w:val="PageNumber"/>
      </w:rPr>
      <w:t>October 2022</w:t>
    </w:r>
  </w:p>
  <w:p w:rsidR="00DE0FA3" w:rsidRDefault="00DE0FA3" w:rsidP="00DE0FA3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646D04">
      <w:rPr>
        <w:rStyle w:val="PageNumber"/>
        <w:noProof/>
      </w:rPr>
      <w:t>2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646D04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983000" w:rsidRDefault="00983000" w:rsidP="00DE0FA3">
    <w:pPr>
      <w:pStyle w:val="Footer"/>
      <w:rPr>
        <w:rStyle w:val="NTGFooter2deptpagenumChar"/>
        <w:sz w:val="22"/>
      </w:rPr>
    </w:pPr>
  </w:p>
  <w:p w:rsidR="00DE0FA3" w:rsidRPr="00DE0FA3" w:rsidRDefault="00DE0FA3" w:rsidP="00DE0FA3">
    <w:pPr>
      <w:pStyle w:val="Footer"/>
      <w:rPr>
        <w:rStyle w:val="NTGFooter2deptpagenumChar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A3" w:rsidRDefault="00DE0FA3" w:rsidP="00DE0FA3">
    <w:pPr>
      <w:spacing w:after="0"/>
      <w:rPr>
        <w:rStyle w:val="PageNumber"/>
      </w:rPr>
    </w:pPr>
  </w:p>
  <w:p w:rsidR="00DE0FA3" w:rsidRDefault="00DE0FA3" w:rsidP="00DE0FA3">
    <w:pPr>
      <w:pBdr>
        <w:top w:val="single" w:sz="4" w:space="1" w:color="auto"/>
      </w:pBdr>
      <w:spacing w:after="0"/>
      <w:rPr>
        <w:rStyle w:val="PageNumber"/>
      </w:rPr>
    </w:pPr>
  </w:p>
  <w:p w:rsidR="00DE0FA3" w:rsidRDefault="00DE0FA3" w:rsidP="00DE0FA3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0288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DE0FA3" w:rsidRDefault="00646D04" w:rsidP="00DE0FA3">
    <w:pPr>
      <w:spacing w:after="0"/>
      <w:rPr>
        <w:rStyle w:val="PageNumber"/>
      </w:rPr>
    </w:pPr>
    <w:r>
      <w:rPr>
        <w:rStyle w:val="PageNumber"/>
      </w:rPr>
      <w:t>July 2023</w:t>
    </w:r>
  </w:p>
  <w:p w:rsidR="00DE0FA3" w:rsidRDefault="00DE0FA3" w:rsidP="00DE0FA3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646D04">
      <w:rPr>
        <w:rStyle w:val="PageNumber"/>
        <w:noProof/>
      </w:rPr>
      <w:t>1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646D04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983000" w:rsidRDefault="00983000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Default="00DE0FA3" w:rsidP="0016153B">
    <w:pPr>
      <w:pStyle w:val="NoSpacing"/>
      <w:spacing w:after="0"/>
      <w:rPr>
        <w:sz w:val="6"/>
        <w:szCs w:val="6"/>
      </w:rPr>
    </w:pPr>
  </w:p>
  <w:p w:rsidR="00DE0FA3" w:rsidRPr="00543BD1" w:rsidRDefault="00DE0FA3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05" w:rsidRDefault="00430105" w:rsidP="007332FF">
      <w:r>
        <w:separator/>
      </w:r>
    </w:p>
  </w:footnote>
  <w:footnote w:type="continuationSeparator" w:id="0">
    <w:p w:rsidR="00430105" w:rsidRDefault="0043010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A3" w:rsidRPr="00DE0FA3" w:rsidRDefault="00DE0FA3">
    <w:pPr>
      <w:pStyle w:val="Header"/>
      <w:rPr>
        <w:rFonts w:ascii="LatoLatin Semibold" w:hAnsi="LatoLatin Semibold"/>
        <w:b w:val="0"/>
        <w:color w:val="1F1F5F"/>
        <w:sz w:val="24"/>
        <w:szCs w:val="24"/>
      </w:rPr>
    </w:pPr>
    <w:r w:rsidRPr="00DE0FA3">
      <w:rPr>
        <w:rFonts w:ascii="LatoLatin Semibold" w:hAnsi="LatoLatin Semibold"/>
        <w:b w:val="0"/>
        <w:color w:val="1F1F5F"/>
        <w:sz w:val="24"/>
        <w:szCs w:val="24"/>
      </w:rPr>
      <w:t xml:space="preserve">Foundations of Public Sector Governance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3A" w:rsidRPr="007D2DD4" w:rsidRDefault="00187BE5" w:rsidP="007D2DD4">
    <w:pPr>
      <w:pStyle w:val="Title"/>
      <w:rPr>
        <w:rFonts w:ascii="LatoLatin Semibold" w:hAnsi="LatoLatin Semibold"/>
        <w:b w:val="0"/>
        <w:color w:val="1F1F5F"/>
      </w:rPr>
    </w:pPr>
    <w:r w:rsidRPr="007D2DD4">
      <w:rPr>
        <w:rFonts w:ascii="LatoLatin Semibold" w:hAnsi="LatoLatin Semibold"/>
        <w:b w:val="0"/>
        <w:color w:val="1F1F5F"/>
      </w:rPr>
      <w:t xml:space="preserve">Foundations of </w:t>
    </w:r>
    <w:r w:rsidR="0071509C">
      <w:rPr>
        <w:rFonts w:ascii="LatoLatin Semibold" w:hAnsi="LatoLatin Semibold"/>
        <w:b w:val="0"/>
        <w:color w:val="1F1F5F"/>
      </w:rPr>
      <w:t>p</w:t>
    </w:r>
    <w:r w:rsidRPr="007D2DD4">
      <w:rPr>
        <w:rFonts w:ascii="LatoLatin Semibold" w:hAnsi="LatoLatin Semibold"/>
        <w:b w:val="0"/>
        <w:color w:val="1F1F5F"/>
      </w:rPr>
      <w:t xml:space="preserve">ublic </w:t>
    </w:r>
    <w:r w:rsidR="0071509C">
      <w:rPr>
        <w:rFonts w:ascii="LatoLatin Semibold" w:hAnsi="LatoLatin Semibold"/>
        <w:b w:val="0"/>
        <w:color w:val="1F1F5F"/>
      </w:rPr>
      <w:t>s</w:t>
    </w:r>
    <w:r w:rsidRPr="007D2DD4">
      <w:rPr>
        <w:rFonts w:ascii="LatoLatin Semibold" w:hAnsi="LatoLatin Semibold"/>
        <w:b w:val="0"/>
        <w:color w:val="1F1F5F"/>
      </w:rPr>
      <w:t xml:space="preserve">ector </w:t>
    </w:r>
    <w:r w:rsidR="0071509C">
      <w:rPr>
        <w:rFonts w:ascii="LatoLatin Semibold" w:hAnsi="LatoLatin Semibold"/>
        <w:b w:val="0"/>
        <w:color w:val="1F1F5F"/>
      </w:rPr>
      <w:t>g</w:t>
    </w:r>
    <w:r w:rsidRPr="007D2DD4">
      <w:rPr>
        <w:rFonts w:ascii="LatoLatin Semibold" w:hAnsi="LatoLatin Semibold"/>
        <w:b w:val="0"/>
        <w:color w:val="1F1F5F"/>
      </w:rPr>
      <w:t>overnance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C9"/>
    <w:multiLevelType w:val="hybridMultilevel"/>
    <w:tmpl w:val="27F2BFB2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40"/>
    <w:multiLevelType w:val="hybridMultilevel"/>
    <w:tmpl w:val="ED94FA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722DB5"/>
    <w:multiLevelType w:val="hybridMultilevel"/>
    <w:tmpl w:val="6FC412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3D31D54"/>
    <w:multiLevelType w:val="hybridMultilevel"/>
    <w:tmpl w:val="05A87EAE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45316B5"/>
    <w:multiLevelType w:val="hybridMultilevel"/>
    <w:tmpl w:val="BB427F54"/>
    <w:lvl w:ilvl="0" w:tplc="57723BD4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876445A"/>
    <w:multiLevelType w:val="hybridMultilevel"/>
    <w:tmpl w:val="78B4F408"/>
    <w:lvl w:ilvl="0" w:tplc="E12E44BC">
      <w:numFmt w:val="bullet"/>
      <w:lvlText w:val=""/>
      <w:lvlJc w:val="left"/>
      <w:pPr>
        <w:ind w:left="108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4AF2323"/>
    <w:multiLevelType w:val="multilevel"/>
    <w:tmpl w:val="2258EEA0"/>
    <w:numStyleLink w:val="NTGStandardNumList"/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708041E"/>
    <w:multiLevelType w:val="multilevel"/>
    <w:tmpl w:val="2258EE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8C427C3"/>
    <w:multiLevelType w:val="hybridMultilevel"/>
    <w:tmpl w:val="3E0600EE"/>
    <w:lvl w:ilvl="0" w:tplc="192A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C434B73"/>
    <w:multiLevelType w:val="hybridMultilevel"/>
    <w:tmpl w:val="74349446"/>
    <w:lvl w:ilvl="0" w:tplc="D18EF1BA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5D461302"/>
    <w:multiLevelType w:val="hybridMultilevel"/>
    <w:tmpl w:val="BDBAF7C8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4" w15:restartNumberingAfterBreak="0">
    <w:nsid w:val="6DC27561"/>
    <w:multiLevelType w:val="hybridMultilevel"/>
    <w:tmpl w:val="AFBE853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D265B70"/>
    <w:multiLevelType w:val="hybridMultilevel"/>
    <w:tmpl w:val="1DE6737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5"/>
  </w:num>
  <w:num w:numId="3">
    <w:abstractNumId w:val="47"/>
  </w:num>
  <w:num w:numId="4">
    <w:abstractNumId w:val="30"/>
  </w:num>
  <w:num w:numId="5">
    <w:abstractNumId w:val="20"/>
  </w:num>
  <w:num w:numId="6">
    <w:abstractNumId w:val="11"/>
  </w:num>
  <w:num w:numId="7">
    <w:abstractNumId w:val="33"/>
  </w:num>
  <w:num w:numId="8">
    <w:abstractNumId w:val="19"/>
  </w:num>
  <w:num w:numId="9">
    <w:abstractNumId w:val="32"/>
  </w:num>
  <w:num w:numId="10">
    <w:abstractNumId w:val="1"/>
  </w:num>
  <w:num w:numId="11">
    <w:abstractNumId w:val="44"/>
  </w:num>
  <w:num w:numId="12">
    <w:abstractNumId w:val="48"/>
  </w:num>
  <w:num w:numId="13">
    <w:abstractNumId w:val="38"/>
  </w:num>
  <w:num w:numId="14">
    <w:abstractNumId w:val="2"/>
  </w:num>
  <w:num w:numId="15">
    <w:abstractNumId w:val="26"/>
  </w:num>
  <w:num w:numId="16">
    <w:abstractNumId w:val="0"/>
  </w:num>
  <w:num w:numId="17">
    <w:abstractNumId w:val="7"/>
  </w:num>
  <w:num w:numId="18">
    <w:abstractNumId w:val="4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2"/>
  </w:num>
  <w:num w:numId="22">
    <w:abstractNumId w:val="16"/>
  </w:num>
  <w:num w:numId="2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E"/>
    <w:rsid w:val="000002AC"/>
    <w:rsid w:val="00001DDF"/>
    <w:rsid w:val="0000322D"/>
    <w:rsid w:val="00007670"/>
    <w:rsid w:val="00010665"/>
    <w:rsid w:val="000144C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9B1"/>
    <w:rsid w:val="00056DEF"/>
    <w:rsid w:val="00056EDC"/>
    <w:rsid w:val="0006156D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3DB7"/>
    <w:rsid w:val="000D1F29"/>
    <w:rsid w:val="000D4482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87130"/>
    <w:rsid w:val="00187BE5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3FA1"/>
    <w:rsid w:val="001E699F"/>
    <w:rsid w:val="001F59E6"/>
    <w:rsid w:val="00203E3F"/>
    <w:rsid w:val="00203F1C"/>
    <w:rsid w:val="00206936"/>
    <w:rsid w:val="00206C6F"/>
    <w:rsid w:val="00206FBD"/>
    <w:rsid w:val="00207746"/>
    <w:rsid w:val="00230031"/>
    <w:rsid w:val="00235C01"/>
    <w:rsid w:val="00247343"/>
    <w:rsid w:val="00255F27"/>
    <w:rsid w:val="00265C56"/>
    <w:rsid w:val="002716CD"/>
    <w:rsid w:val="00273AA7"/>
    <w:rsid w:val="00274D4B"/>
    <w:rsid w:val="002806F5"/>
    <w:rsid w:val="00281577"/>
    <w:rsid w:val="00285461"/>
    <w:rsid w:val="002926BC"/>
    <w:rsid w:val="00293A72"/>
    <w:rsid w:val="002A0160"/>
    <w:rsid w:val="002A30C3"/>
    <w:rsid w:val="002A6F6A"/>
    <w:rsid w:val="002A7712"/>
    <w:rsid w:val="002B0D88"/>
    <w:rsid w:val="002B38F7"/>
    <w:rsid w:val="002B5591"/>
    <w:rsid w:val="002B6AA4"/>
    <w:rsid w:val="002C1FE9"/>
    <w:rsid w:val="002D3A57"/>
    <w:rsid w:val="002D58CD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4F2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97110"/>
    <w:rsid w:val="003A6341"/>
    <w:rsid w:val="003B67FD"/>
    <w:rsid w:val="003B6A61"/>
    <w:rsid w:val="003D0F63"/>
    <w:rsid w:val="003D42C0"/>
    <w:rsid w:val="003D5B29"/>
    <w:rsid w:val="003D7818"/>
    <w:rsid w:val="003E060E"/>
    <w:rsid w:val="003E2445"/>
    <w:rsid w:val="003E3BB2"/>
    <w:rsid w:val="003E5214"/>
    <w:rsid w:val="003F5B58"/>
    <w:rsid w:val="0040222A"/>
    <w:rsid w:val="00402C1A"/>
    <w:rsid w:val="004047BC"/>
    <w:rsid w:val="004100F7"/>
    <w:rsid w:val="00414CB3"/>
    <w:rsid w:val="0041563D"/>
    <w:rsid w:val="00426E25"/>
    <w:rsid w:val="00427C76"/>
    <w:rsid w:val="00427D9C"/>
    <w:rsid w:val="00427E7E"/>
    <w:rsid w:val="00430105"/>
    <w:rsid w:val="00433157"/>
    <w:rsid w:val="0043465D"/>
    <w:rsid w:val="00443B6E"/>
    <w:rsid w:val="0045420A"/>
    <w:rsid w:val="004554D4"/>
    <w:rsid w:val="00461744"/>
    <w:rsid w:val="0046253E"/>
    <w:rsid w:val="004649E2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4E6E"/>
    <w:rsid w:val="004F016A"/>
    <w:rsid w:val="004F61AB"/>
    <w:rsid w:val="00500F94"/>
    <w:rsid w:val="00502FB3"/>
    <w:rsid w:val="0050360C"/>
    <w:rsid w:val="00503DE9"/>
    <w:rsid w:val="0050530C"/>
    <w:rsid w:val="00505DEA"/>
    <w:rsid w:val="00507782"/>
    <w:rsid w:val="00512A04"/>
    <w:rsid w:val="00520499"/>
    <w:rsid w:val="005249F5"/>
    <w:rsid w:val="005260F7"/>
    <w:rsid w:val="00527B73"/>
    <w:rsid w:val="00543BD1"/>
    <w:rsid w:val="005554A7"/>
    <w:rsid w:val="00556113"/>
    <w:rsid w:val="00563190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59A"/>
    <w:rsid w:val="005F0B17"/>
    <w:rsid w:val="005F77C7"/>
    <w:rsid w:val="00620675"/>
    <w:rsid w:val="00622910"/>
    <w:rsid w:val="006254B6"/>
    <w:rsid w:val="00625A3D"/>
    <w:rsid w:val="00627FC8"/>
    <w:rsid w:val="006433C3"/>
    <w:rsid w:val="00646719"/>
    <w:rsid w:val="00646D04"/>
    <w:rsid w:val="006478AE"/>
    <w:rsid w:val="00650F5B"/>
    <w:rsid w:val="006670D7"/>
    <w:rsid w:val="0066793A"/>
    <w:rsid w:val="006719EA"/>
    <w:rsid w:val="00671F13"/>
    <w:rsid w:val="006722DE"/>
    <w:rsid w:val="0067400A"/>
    <w:rsid w:val="006847AD"/>
    <w:rsid w:val="0069114B"/>
    <w:rsid w:val="006944C1"/>
    <w:rsid w:val="006A03B9"/>
    <w:rsid w:val="006A756A"/>
    <w:rsid w:val="006B0676"/>
    <w:rsid w:val="006C363A"/>
    <w:rsid w:val="006D66F7"/>
    <w:rsid w:val="006E651D"/>
    <w:rsid w:val="006F1FCA"/>
    <w:rsid w:val="00705C9D"/>
    <w:rsid w:val="00705F13"/>
    <w:rsid w:val="00714F1D"/>
    <w:rsid w:val="0071509C"/>
    <w:rsid w:val="00715225"/>
    <w:rsid w:val="00717A88"/>
    <w:rsid w:val="00720CC6"/>
    <w:rsid w:val="00722DDB"/>
    <w:rsid w:val="00724728"/>
    <w:rsid w:val="00724F98"/>
    <w:rsid w:val="007261B8"/>
    <w:rsid w:val="00730B9B"/>
    <w:rsid w:val="0073182E"/>
    <w:rsid w:val="007332FF"/>
    <w:rsid w:val="007408F5"/>
    <w:rsid w:val="00741EAE"/>
    <w:rsid w:val="00744889"/>
    <w:rsid w:val="00755248"/>
    <w:rsid w:val="0076190B"/>
    <w:rsid w:val="0076355D"/>
    <w:rsid w:val="00763A2D"/>
    <w:rsid w:val="00763C70"/>
    <w:rsid w:val="007676A4"/>
    <w:rsid w:val="00777795"/>
    <w:rsid w:val="00780CB8"/>
    <w:rsid w:val="00783A57"/>
    <w:rsid w:val="00784C92"/>
    <w:rsid w:val="007859CD"/>
    <w:rsid w:val="007907E4"/>
    <w:rsid w:val="0079491B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2DD4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1F34"/>
    <w:rsid w:val="00867019"/>
    <w:rsid w:val="008735A9"/>
    <w:rsid w:val="0087414F"/>
    <w:rsid w:val="00877BC5"/>
    <w:rsid w:val="00877D20"/>
    <w:rsid w:val="00881C48"/>
    <w:rsid w:val="00885B80"/>
    <w:rsid w:val="00885C30"/>
    <w:rsid w:val="00885E9B"/>
    <w:rsid w:val="00893191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47FAE"/>
    <w:rsid w:val="009616DF"/>
    <w:rsid w:val="0096542F"/>
    <w:rsid w:val="009663D8"/>
    <w:rsid w:val="0096641E"/>
    <w:rsid w:val="00967FA7"/>
    <w:rsid w:val="00971645"/>
    <w:rsid w:val="00977919"/>
    <w:rsid w:val="00983000"/>
    <w:rsid w:val="009870FA"/>
    <w:rsid w:val="009921C3"/>
    <w:rsid w:val="0099551D"/>
    <w:rsid w:val="009A24D5"/>
    <w:rsid w:val="009A271A"/>
    <w:rsid w:val="009A5236"/>
    <w:rsid w:val="009A5897"/>
    <w:rsid w:val="009A5F24"/>
    <w:rsid w:val="009B015B"/>
    <w:rsid w:val="009B0B3E"/>
    <w:rsid w:val="009B1913"/>
    <w:rsid w:val="009B6657"/>
    <w:rsid w:val="009C223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A22"/>
    <w:rsid w:val="00A22C38"/>
    <w:rsid w:val="00A25193"/>
    <w:rsid w:val="00A26E80"/>
    <w:rsid w:val="00A31AE8"/>
    <w:rsid w:val="00A3739D"/>
    <w:rsid w:val="00A37DDA"/>
    <w:rsid w:val="00A45005"/>
    <w:rsid w:val="00A7644C"/>
    <w:rsid w:val="00A76790"/>
    <w:rsid w:val="00A925EC"/>
    <w:rsid w:val="00A929AA"/>
    <w:rsid w:val="00A92B6B"/>
    <w:rsid w:val="00AA541E"/>
    <w:rsid w:val="00AB3990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2570"/>
    <w:rsid w:val="00B257E1"/>
    <w:rsid w:val="00B2599A"/>
    <w:rsid w:val="00B27AC4"/>
    <w:rsid w:val="00B343CC"/>
    <w:rsid w:val="00B35408"/>
    <w:rsid w:val="00B5084A"/>
    <w:rsid w:val="00B606A1"/>
    <w:rsid w:val="00B614F7"/>
    <w:rsid w:val="00B61B26"/>
    <w:rsid w:val="00B65E6B"/>
    <w:rsid w:val="00B66FD0"/>
    <w:rsid w:val="00B675B2"/>
    <w:rsid w:val="00B81261"/>
    <w:rsid w:val="00B81A1F"/>
    <w:rsid w:val="00B8223E"/>
    <w:rsid w:val="00B832AE"/>
    <w:rsid w:val="00B86678"/>
    <w:rsid w:val="00B92F9B"/>
    <w:rsid w:val="00B941B3"/>
    <w:rsid w:val="00B96513"/>
    <w:rsid w:val="00BA1D47"/>
    <w:rsid w:val="00BA66F0"/>
    <w:rsid w:val="00BA6BE5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248"/>
    <w:rsid w:val="00C10F10"/>
    <w:rsid w:val="00C12CBF"/>
    <w:rsid w:val="00C15D4D"/>
    <w:rsid w:val="00C175DC"/>
    <w:rsid w:val="00C30171"/>
    <w:rsid w:val="00C30404"/>
    <w:rsid w:val="00C309D8"/>
    <w:rsid w:val="00C3608C"/>
    <w:rsid w:val="00C43430"/>
    <w:rsid w:val="00C43519"/>
    <w:rsid w:val="00C51537"/>
    <w:rsid w:val="00C52BC3"/>
    <w:rsid w:val="00C61AFA"/>
    <w:rsid w:val="00C61D64"/>
    <w:rsid w:val="00C62099"/>
    <w:rsid w:val="00C63E48"/>
    <w:rsid w:val="00C64EA3"/>
    <w:rsid w:val="00C72867"/>
    <w:rsid w:val="00C75E81"/>
    <w:rsid w:val="00C84C38"/>
    <w:rsid w:val="00C86609"/>
    <w:rsid w:val="00C92B4C"/>
    <w:rsid w:val="00C954F6"/>
    <w:rsid w:val="00CA0793"/>
    <w:rsid w:val="00CA6BC5"/>
    <w:rsid w:val="00CC1C98"/>
    <w:rsid w:val="00CC61CD"/>
    <w:rsid w:val="00CC737B"/>
    <w:rsid w:val="00CD5011"/>
    <w:rsid w:val="00CE08F3"/>
    <w:rsid w:val="00CE640F"/>
    <w:rsid w:val="00CE76BC"/>
    <w:rsid w:val="00CF1DFC"/>
    <w:rsid w:val="00CF540E"/>
    <w:rsid w:val="00D02F07"/>
    <w:rsid w:val="00D10048"/>
    <w:rsid w:val="00D27EBE"/>
    <w:rsid w:val="00D36A49"/>
    <w:rsid w:val="00D517C6"/>
    <w:rsid w:val="00D71D84"/>
    <w:rsid w:val="00D72464"/>
    <w:rsid w:val="00D75EB6"/>
    <w:rsid w:val="00D768EB"/>
    <w:rsid w:val="00D81E17"/>
    <w:rsid w:val="00D81E1E"/>
    <w:rsid w:val="00D82D1E"/>
    <w:rsid w:val="00D832D9"/>
    <w:rsid w:val="00D90F00"/>
    <w:rsid w:val="00D975C0"/>
    <w:rsid w:val="00DA5285"/>
    <w:rsid w:val="00DB16F5"/>
    <w:rsid w:val="00DB191D"/>
    <w:rsid w:val="00DB4F91"/>
    <w:rsid w:val="00DB50F0"/>
    <w:rsid w:val="00DB6D0A"/>
    <w:rsid w:val="00DC06BE"/>
    <w:rsid w:val="00DC1F0F"/>
    <w:rsid w:val="00DC3117"/>
    <w:rsid w:val="00DC5DD9"/>
    <w:rsid w:val="00DC6D2D"/>
    <w:rsid w:val="00DD4E59"/>
    <w:rsid w:val="00DE0FA3"/>
    <w:rsid w:val="00DE3386"/>
    <w:rsid w:val="00DE33B5"/>
    <w:rsid w:val="00DE5E18"/>
    <w:rsid w:val="00DF0487"/>
    <w:rsid w:val="00DF3145"/>
    <w:rsid w:val="00DF5EA4"/>
    <w:rsid w:val="00E02681"/>
    <w:rsid w:val="00E02792"/>
    <w:rsid w:val="00E034D8"/>
    <w:rsid w:val="00E035CB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379"/>
    <w:rsid w:val="00E44C89"/>
    <w:rsid w:val="00E457A6"/>
    <w:rsid w:val="00E61BA2"/>
    <w:rsid w:val="00E63864"/>
    <w:rsid w:val="00E6403F"/>
    <w:rsid w:val="00E75451"/>
    <w:rsid w:val="00E770C4"/>
    <w:rsid w:val="00E82F1A"/>
    <w:rsid w:val="00E84C5A"/>
    <w:rsid w:val="00E861DB"/>
    <w:rsid w:val="00E93406"/>
    <w:rsid w:val="00E94325"/>
    <w:rsid w:val="00E956C5"/>
    <w:rsid w:val="00E95C39"/>
    <w:rsid w:val="00EA2C39"/>
    <w:rsid w:val="00EA476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3771E"/>
    <w:rsid w:val="00F4786B"/>
    <w:rsid w:val="00F52757"/>
    <w:rsid w:val="00F5696E"/>
    <w:rsid w:val="00F60EFF"/>
    <w:rsid w:val="00F6179F"/>
    <w:rsid w:val="00F67D2D"/>
    <w:rsid w:val="00F72822"/>
    <w:rsid w:val="00F858F2"/>
    <w:rsid w:val="00F860CC"/>
    <w:rsid w:val="00F94398"/>
    <w:rsid w:val="00FA4F1B"/>
    <w:rsid w:val="00FB2B56"/>
    <w:rsid w:val="00FB55D5"/>
    <w:rsid w:val="00FC12BF"/>
    <w:rsid w:val="00FC2C60"/>
    <w:rsid w:val="00FD3E6F"/>
    <w:rsid w:val="00FD51B9"/>
    <w:rsid w:val="00FD5849"/>
    <w:rsid w:val="00FE185D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128D81"/>
  <w15:docId w15:val="{91E890A0-F469-4A67-8590-CCAC498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66FD0"/>
    <w:pPr>
      <w:keepNext/>
      <w:keepLines/>
      <w:spacing w:before="240"/>
      <w:outlineLvl w:val="3"/>
    </w:pPr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66FD0"/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p,List Paragraph Guidelines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numbering" w:customStyle="1" w:styleId="NTGStandardNumList">
    <w:name w:val="NTG Standard Num List"/>
    <w:uiPriority w:val="99"/>
    <w:rsid w:val="00D81E1E"/>
    <w:pPr>
      <w:numPr>
        <w:numId w:val="9"/>
      </w:numPr>
    </w:pPr>
  </w:style>
  <w:style w:type="paragraph" w:customStyle="1" w:styleId="NTGdepartmentof">
    <w:name w:val="NTG department of"/>
    <w:link w:val="NTGdepartmentofChar"/>
    <w:uiPriority w:val="2"/>
    <w:rsid w:val="00D81E1E"/>
    <w:pPr>
      <w:spacing w:after="0"/>
    </w:pPr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D81E1E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D81E1E"/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D81E1E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D81E1E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NTGFooter1textChar">
    <w:name w:val="NTG Footer 1 text Char"/>
    <w:basedOn w:val="DefaultParagraphFont"/>
    <w:link w:val="NTGFooter1text"/>
    <w:rsid w:val="00D81E1E"/>
    <w:rPr>
      <w:rFonts w:eastAsia="Times New Roman"/>
      <w:sz w:val="20"/>
      <w:szCs w:val="20"/>
      <w:lang w:eastAsia="en-AU"/>
    </w:rPr>
  </w:style>
  <w:style w:type="character" w:customStyle="1" w:styleId="ListParagraphChar">
    <w:name w:val="List Paragraph Char"/>
    <w:aliases w:val="lp Char,List Paragraph Guidelines Char"/>
    <w:link w:val="ListParagraph"/>
    <w:uiPriority w:val="34"/>
    <w:rsid w:val="00F3771E"/>
    <w:rPr>
      <w:rFonts w:eastAsiaTheme="minorEastAsia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2DE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A7"/>
    <w:rPr>
      <w:b/>
      <w:bCs/>
      <w:sz w:val="20"/>
      <w:szCs w:val="20"/>
    </w:rPr>
  </w:style>
  <w:style w:type="paragraph" w:customStyle="1" w:styleId="Style1">
    <w:name w:val="Style1"/>
    <w:basedOn w:val="Heading4"/>
    <w:link w:val="Style1Char"/>
    <w:qFormat/>
    <w:rsid w:val="007D2DD4"/>
    <w:rPr>
      <w:rFonts w:ascii="LatoLatin Semibold" w:hAnsi="LatoLatin Semibold"/>
      <w:b w:val="0"/>
      <w:color w:val="1F1F5F"/>
    </w:rPr>
  </w:style>
  <w:style w:type="character" w:customStyle="1" w:styleId="Style1Char">
    <w:name w:val="Style1 Char"/>
    <w:basedOn w:val="Heading4Char"/>
    <w:link w:val="Style1"/>
    <w:rsid w:val="007D2DD4"/>
    <w:rPr>
      <w:rFonts w:ascii="LatoLatin Semibold" w:eastAsiaTheme="majorEastAsia" w:hAnsi="LatoLatin Semibold" w:cstheme="majorBidi"/>
      <w:b w:val="0"/>
      <w:bCs/>
      <w:iCs/>
      <w:color w:val="1F1F5F"/>
      <w:sz w:val="24"/>
      <w:szCs w:val="24"/>
    </w:rPr>
  </w:style>
  <w:style w:type="character" w:styleId="PageNumber">
    <w:name w:val="page number"/>
    <w:aliases w:val="Page number"/>
    <w:basedOn w:val="DefaultParagraphFont"/>
    <w:uiPriority w:val="8"/>
    <w:rsid w:val="00DE0FA3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DEEF-36C1-4124-B6FD-D86DAAF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Vaidian</dc:creator>
  <cp:lastModifiedBy>Hazel Wilson</cp:lastModifiedBy>
  <cp:revision>16</cp:revision>
  <cp:lastPrinted>2022-10-05T00:46:00Z</cp:lastPrinted>
  <dcterms:created xsi:type="dcterms:W3CDTF">2020-02-14T02:15:00Z</dcterms:created>
  <dcterms:modified xsi:type="dcterms:W3CDTF">2023-07-06T06:13:00Z</dcterms:modified>
</cp:coreProperties>
</file>