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F5" w:rsidRPr="00D362AD" w:rsidRDefault="00D81E1E" w:rsidP="00DB16F5">
      <w:pPr>
        <w:pStyle w:val="Heading4"/>
        <w:rPr>
          <w:rFonts w:ascii="LatoLatin Semibold" w:hAnsi="LatoLatin Semibold"/>
          <w:b w:val="0"/>
          <w:color w:val="1F1F5F"/>
        </w:rPr>
      </w:pPr>
      <w:r w:rsidRPr="00D362AD">
        <w:rPr>
          <w:rFonts w:ascii="LatoLatin Semibold" w:hAnsi="LatoLatin Semibold"/>
          <w:b w:val="0"/>
          <w:color w:val="1F1F5F"/>
        </w:rPr>
        <w:t>Course Duration –</w:t>
      </w:r>
      <w:r w:rsidR="00F4786B" w:rsidRPr="00D362AD">
        <w:rPr>
          <w:rFonts w:ascii="LatoLatin Semibold" w:hAnsi="LatoLatin Semibold"/>
          <w:b w:val="0"/>
          <w:color w:val="1F1F5F"/>
        </w:rPr>
        <w:tab/>
        <w:t>2</w:t>
      </w:r>
      <w:r w:rsidRPr="00D362AD">
        <w:rPr>
          <w:rFonts w:ascii="LatoLatin Semibold" w:hAnsi="LatoLatin Semibold"/>
          <w:b w:val="0"/>
          <w:color w:val="1F1F5F"/>
        </w:rPr>
        <w:t xml:space="preserve"> Day</w:t>
      </w:r>
      <w:r w:rsidR="00DB16F5" w:rsidRPr="00D362AD">
        <w:rPr>
          <w:rFonts w:ascii="LatoLatin Semibold" w:hAnsi="LatoLatin Semibold"/>
          <w:b w:val="0"/>
          <w:color w:val="1F1F5F"/>
        </w:rPr>
        <w:t>s</w:t>
      </w:r>
    </w:p>
    <w:p w:rsidR="00D81E1E" w:rsidRPr="00D362AD" w:rsidRDefault="00D81E1E" w:rsidP="00563190">
      <w:pPr>
        <w:rPr>
          <w:rFonts w:ascii="LatoLatin Semibold" w:hAnsi="LatoLatin Semibold"/>
          <w:b/>
          <w:color w:val="1F1F5F"/>
          <w:sz w:val="24"/>
          <w:szCs w:val="24"/>
        </w:rPr>
      </w:pPr>
      <w:r w:rsidRPr="00D362AD">
        <w:rPr>
          <w:rStyle w:val="Heading4Char"/>
          <w:rFonts w:ascii="LatoLatin Semibold" w:hAnsi="LatoLatin Semibold"/>
          <w:b w:val="0"/>
          <w:color w:val="1F1F5F"/>
        </w:rPr>
        <w:t>Course Cost</w:t>
      </w:r>
      <w:r w:rsidRPr="00D362AD">
        <w:rPr>
          <w:rFonts w:ascii="LatoLatin Semibold" w:hAnsi="LatoLatin Semibold"/>
          <w:b/>
          <w:color w:val="1F1F5F"/>
          <w:sz w:val="24"/>
          <w:szCs w:val="24"/>
        </w:rPr>
        <w:t xml:space="preserve"> – </w:t>
      </w:r>
      <w:r w:rsidRPr="00E15288">
        <w:rPr>
          <w:rFonts w:ascii="LatoLatin Semibold" w:hAnsi="LatoLatin Semibold"/>
          <w:color w:val="1F1F5F"/>
          <w:sz w:val="24"/>
          <w:szCs w:val="24"/>
        </w:rPr>
        <w:t>$</w:t>
      </w:r>
      <w:r w:rsidR="00B43638">
        <w:rPr>
          <w:rFonts w:ascii="LatoLatin Semibold" w:hAnsi="LatoLatin Semibold"/>
          <w:color w:val="1F1F5F"/>
          <w:sz w:val="24"/>
          <w:szCs w:val="24"/>
        </w:rPr>
        <w:t>90</w:t>
      </w:r>
      <w:r w:rsidR="000002AC" w:rsidRPr="00E15288">
        <w:rPr>
          <w:rFonts w:ascii="LatoLatin Semibold" w:hAnsi="LatoLatin Semibold"/>
          <w:color w:val="1F1F5F"/>
          <w:sz w:val="24"/>
          <w:szCs w:val="24"/>
        </w:rPr>
        <w:t>0</w:t>
      </w:r>
      <w:r w:rsidRPr="00E15288">
        <w:rPr>
          <w:rFonts w:ascii="LatoLatin Semibold" w:hAnsi="LatoLatin Semibold"/>
          <w:color w:val="1F1F5F"/>
          <w:sz w:val="24"/>
          <w:szCs w:val="24"/>
        </w:rPr>
        <w:t xml:space="preserve"> pp</w:t>
      </w:r>
    </w:p>
    <w:p w:rsidR="00D81E1E" w:rsidRPr="00D362AD" w:rsidRDefault="00D81E1E" w:rsidP="00D362AD">
      <w:pPr>
        <w:pStyle w:val="Style1"/>
      </w:pPr>
      <w:r w:rsidRPr="00D362AD">
        <w:t>CF level Alignment</w:t>
      </w:r>
    </w:p>
    <w:p w:rsidR="00B66FD0" w:rsidRPr="00B66FD0" w:rsidRDefault="00491F53" w:rsidP="00427C76">
      <w:pPr>
        <w:pStyle w:val="Heading4"/>
        <w:rPr>
          <w:color w:val="8D351F" w:themeColor="accent6" w:themeShade="BF"/>
        </w:rPr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53C0EF85" wp14:editId="2BB19191">
                <wp:extent cx="6120130" cy="304800"/>
                <wp:effectExtent l="0" t="0" r="13970" b="19050"/>
                <wp:docPr id="13" name="Diagram 1" title="CLF LEVEL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04800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Freeform 16"/>
                        <wps:cNvSpPr/>
                        <wps:spPr>
                          <a:xfrm>
                            <a:off x="2880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91F53" w:rsidRDefault="00B20F42" w:rsidP="00491F53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</w:t>
                              </w:r>
                              <w:r w:rsidR="00491F53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F 1-4</w:t>
                              </w:r>
                            </w:p>
                            <w:p w:rsidR="00491F53" w:rsidRDefault="00491F53" w:rsidP="00491F53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491F53" w:rsidRDefault="00491F53" w:rsidP="00491F53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>
                            <a:off x="1512088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91F53" w:rsidRDefault="00491F53" w:rsidP="00491F53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5-7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3021305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91F53" w:rsidRDefault="00491F53" w:rsidP="00491F53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7-9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4530513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91F53" w:rsidRDefault="00491F53" w:rsidP="00491F53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10+</w:t>
                              </w:r>
                            </w:p>
                            <w:p w:rsidR="00491F53" w:rsidRDefault="00491F53" w:rsidP="00491F53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0EF85" id="Diagram 1" o:spid="_x0000_s1026" alt="Title: CLF LEVEL ALIGNMENT" style="width:481.9pt;height:24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">
                <v:rect id="Rectangle 14" o:spid="_x0000_s1027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/>
                </v:rect>
                <v:shape id="Freeform 16" o:spid="_x0000_s1028" style="position:absolute;left:28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491F53" w:rsidRDefault="00B20F42" w:rsidP="00491F53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</w:t>
                        </w:r>
                        <w:r w:rsidR="00491F53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F 1-4</w:t>
                        </w:r>
                      </w:p>
                      <w:p w:rsidR="00491F53" w:rsidRDefault="00491F53" w:rsidP="00491F53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491F53" w:rsidRDefault="00491F53" w:rsidP="00491F53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17" o:spid="_x0000_s1029" style="position:absolute;left:15120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491F53" w:rsidRDefault="00491F53" w:rsidP="00491F53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5-7</w:t>
                        </w:r>
                      </w:p>
                    </w:txbxContent>
                  </v:textbox>
                </v:shape>
                <v:shape id="Freeform 18" o:spid="_x0000_s1030" style="position:absolute;left:30213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491F53" w:rsidRDefault="00491F53" w:rsidP="00491F53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7-9</w:t>
                        </w:r>
                      </w:p>
                    </w:txbxContent>
                  </v:textbox>
                </v:shape>
                <v:shape id="Freeform 19" o:spid="_x0000_s1031" style="position:absolute;left:45305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491F53" w:rsidRDefault="00491F53" w:rsidP="00491F53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10+</w:t>
                        </w:r>
                      </w:p>
                      <w:p w:rsidR="00491F53" w:rsidRDefault="00491F53" w:rsidP="00491F53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625A3D" w:rsidRDefault="00D362AD" w:rsidP="00D362AD">
      <w:pPr>
        <w:pStyle w:val="Style1"/>
      </w:pPr>
      <w:r>
        <w:rPr>
          <w:noProof/>
        </w:rPr>
        <w:t>Middle Manager Development Framework Alignment</w:t>
      </w:r>
    </w:p>
    <w:p w:rsidR="00D81E1E" w:rsidRPr="00914871" w:rsidRDefault="00D81E1E" w:rsidP="00427C76">
      <w:pPr>
        <w:pStyle w:val="Heading4"/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5BEB8EFC" wp14:editId="76D94A16">
                <wp:extent cx="6120130" cy="297873"/>
                <wp:effectExtent l="0" t="0" r="13970" b="26035"/>
                <wp:docPr id="8" name="Diagram 1" title="MMDF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97873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2879" y="0"/>
                            <a:ext cx="214106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Pr="00EC5949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EC594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Self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792482" y="0"/>
                            <a:ext cx="250947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0D00F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Managing the Business</w:t>
                              </w:r>
                            </w:p>
                            <w:p w:rsidR="00B66FD0" w:rsidRDefault="00B66FD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2" name="Freeform 12" title="MMDF ALIGNMENT"/>
                        <wps:cNvSpPr/>
                        <wps:spPr>
                          <a:xfrm>
                            <a:off x="4077017" y="0"/>
                            <a:ext cx="208771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the Team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B8EFC" id="_x0000_s1032" alt="Title: MMDF Alignment" style="width:481.9pt;height:23.45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">
                <v:rect id="Rectangle 9" o:spid="_x0000_s1033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/>
                </v:rect>
                <v:shape id="Freeform 10" o:spid="_x0000_s1034" style="position:absolute;left:28;width:21411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1070535,0;2141069,180973;1070535,361946;0,180973;0,0;1910000,0;2141069,180973;1910000,361946;0,361946;231069,180973;0,0" o:connectangles="270,0,90,180,0,0,0,0,0,0,0" textboxrect="0,0,1676902,361950"/>
                  <v:textbox inset="6.58292mm,.51867mm,5.54556mm,.51867mm">
                    <w:txbxContent>
                      <w:p w:rsidR="00D81E1E" w:rsidRPr="00EC5949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EC594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Self </w:t>
                        </w:r>
                      </w:p>
                    </w:txbxContent>
                  </v:textbox>
                </v:shape>
                <v:shape id="Freeform 11" o:spid="_x0000_s1035" style="position:absolute;left:17924;width:25095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1254737,0;2509473,180973;1254737,361946;0,180973;0,0;2238645,0;2509473,180973;2238645,361946;0,361946;270828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0D00F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Managing the Business</w:t>
                        </w:r>
                      </w:p>
                      <w:p w:rsidR="00B66FD0" w:rsidRDefault="00B66FD0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12" o:spid="_x0000_s1036" style="position:absolute;left:40770;width:20877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" adj="-11796480,,5400" path="m,l1495927,r180975,180975l1495927,361950,,361950,180975,180975,,xe" fillcolor="#9c9cb0" strokecolor="white" strokeweight=".70561mm">
                  <v:fill color2="#e2e2e7" rotate="t" angle="45" colors="0 #9c9cb0;.5 #c3c3ce;1 #e2e2e7" focus="100%" type="gradient"/>
                  <v:stroke joinstyle="miter"/>
                  <v:formulas/>
                  <v:path arrowok="t" o:connecttype="custom" o:connectlocs="1043857,0;2087713,180973;1043857,361946;0,180973;0,0;1862402,0;2087713,180973;1862402,361946;0,361946;225311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the Team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433157" w:rsidRDefault="00D81E1E" w:rsidP="00D362AD">
      <w:pPr>
        <w:pStyle w:val="Style1"/>
      </w:pPr>
      <w:r w:rsidRPr="00433157">
        <w:t>Ov</w:t>
      </w:r>
      <w:r w:rsidRPr="00033C62">
        <w:t>erview</w:t>
      </w:r>
    </w:p>
    <w:p w:rsidR="004733A9" w:rsidRPr="008628C7" w:rsidRDefault="004733A9" w:rsidP="004733A9">
      <w:pPr>
        <w:jc w:val="both"/>
        <w:rPr>
          <w:rFonts w:ascii="Lato" w:eastAsiaTheme="minorHAnsi" w:hAnsi="Lato" w:cs="Arial"/>
          <w:sz w:val="24"/>
          <w:szCs w:val="24"/>
        </w:rPr>
      </w:pPr>
      <w:r w:rsidRPr="008628C7">
        <w:rPr>
          <w:rFonts w:ascii="Lato" w:eastAsiaTheme="minorHAnsi" w:hAnsi="Lato" w:cs="Arial"/>
          <w:sz w:val="24"/>
          <w:szCs w:val="24"/>
        </w:rPr>
        <w:t>This public policy development course provides a</w:t>
      </w:r>
      <w:r>
        <w:rPr>
          <w:rFonts w:ascii="Lato" w:eastAsiaTheme="minorHAnsi" w:hAnsi="Lato" w:cs="Arial"/>
          <w:sz w:val="24"/>
          <w:szCs w:val="24"/>
        </w:rPr>
        <w:t>n</w:t>
      </w:r>
      <w:r w:rsidRPr="008628C7">
        <w:rPr>
          <w:rFonts w:ascii="Lato" w:eastAsiaTheme="minorHAnsi" w:hAnsi="Lato" w:cs="Arial"/>
          <w:sz w:val="24"/>
          <w:szCs w:val="24"/>
        </w:rPr>
        <w:t xml:space="preserve"> introduction to the role of government as a policy-maker. </w:t>
      </w:r>
      <w:r w:rsidR="0033371C">
        <w:rPr>
          <w:rFonts w:ascii="Lato" w:eastAsiaTheme="minorHAnsi" w:hAnsi="Lato" w:cs="Arial"/>
          <w:sz w:val="24"/>
          <w:szCs w:val="24"/>
        </w:rPr>
        <w:t>It</w:t>
      </w:r>
      <w:r w:rsidRPr="008628C7">
        <w:rPr>
          <w:rFonts w:ascii="Lato" w:eastAsiaTheme="minorHAnsi" w:hAnsi="Lato" w:cs="Arial"/>
          <w:sz w:val="24"/>
          <w:szCs w:val="24"/>
        </w:rPr>
        <w:t xml:space="preserve"> places emphasis on the difference between administrat</w:t>
      </w:r>
      <w:r w:rsidR="0033371C">
        <w:rPr>
          <w:rFonts w:ascii="Lato" w:eastAsiaTheme="minorHAnsi" w:hAnsi="Lato" w:cs="Arial"/>
          <w:sz w:val="24"/>
          <w:szCs w:val="24"/>
        </w:rPr>
        <w:t>ive policy and public policy and</w:t>
      </w:r>
      <w:r w:rsidRPr="008628C7">
        <w:rPr>
          <w:rFonts w:ascii="Lato" w:eastAsiaTheme="minorHAnsi" w:hAnsi="Lato" w:cs="Arial"/>
          <w:sz w:val="24"/>
          <w:szCs w:val="24"/>
        </w:rPr>
        <w:t xml:space="preserve"> examines the role of the public servant in effective policy development.</w:t>
      </w:r>
    </w:p>
    <w:p w:rsidR="004733A9" w:rsidRDefault="004733A9" w:rsidP="004733A9">
      <w:pPr>
        <w:jc w:val="both"/>
        <w:rPr>
          <w:rStyle w:val="Heading2Char"/>
          <w:rFonts w:ascii="Lato" w:eastAsiaTheme="minorHAnsi" w:hAnsi="Lato"/>
          <w:color w:val="CB6015"/>
          <w:sz w:val="24"/>
          <w:szCs w:val="24"/>
        </w:rPr>
      </w:pPr>
      <w:r w:rsidRPr="008628C7">
        <w:rPr>
          <w:rFonts w:ascii="Lato" w:eastAsiaTheme="minorHAnsi" w:hAnsi="Lato" w:cs="Arial"/>
          <w:sz w:val="24"/>
          <w:szCs w:val="24"/>
        </w:rPr>
        <w:t>This course builds on the foundational learnings from the Foundations of Public Sector Governance (formerly MoG) workshop and provides you with an opportunity to examine a cyclical model of policy development, together with best practice approaches to policy formulation.</w:t>
      </w:r>
      <w:r w:rsidRPr="008628C7">
        <w:rPr>
          <w:rStyle w:val="Heading2Char"/>
          <w:rFonts w:ascii="Lato" w:eastAsiaTheme="minorHAnsi" w:hAnsi="Lato"/>
          <w:color w:val="CB6015"/>
          <w:sz w:val="24"/>
          <w:szCs w:val="24"/>
        </w:rPr>
        <w:t xml:space="preserve"> </w:t>
      </w:r>
    </w:p>
    <w:p w:rsidR="00D81E1E" w:rsidRPr="00433157" w:rsidRDefault="00D81E1E" w:rsidP="00D362AD">
      <w:pPr>
        <w:pStyle w:val="Style1"/>
      </w:pPr>
      <w:r w:rsidRPr="00433157">
        <w:t xml:space="preserve">Who should attend this course? </w:t>
      </w:r>
    </w:p>
    <w:p w:rsidR="004733A9" w:rsidRDefault="004733A9" w:rsidP="004733A9">
      <w:pPr>
        <w:pStyle w:val="Heading2"/>
        <w:jc w:val="both"/>
        <w:rPr>
          <w:rFonts w:ascii="Lato" w:eastAsiaTheme="minorHAnsi" w:hAnsi="Lato" w:cs="Times New Roman"/>
          <w:b w:val="0"/>
          <w:color w:val="auto"/>
          <w:sz w:val="24"/>
          <w:szCs w:val="24"/>
        </w:rPr>
      </w:pPr>
      <w:r w:rsidRPr="008628C7">
        <w:rPr>
          <w:rFonts w:ascii="Lato" w:eastAsiaTheme="minorHAnsi" w:hAnsi="Lato" w:cs="Times New Roman"/>
          <w:b w:val="0"/>
          <w:color w:val="auto"/>
          <w:sz w:val="24"/>
          <w:szCs w:val="24"/>
        </w:rPr>
        <w:t xml:space="preserve">If you would like to build your understanding of how effective policy is developed, this course aims to </w:t>
      </w:r>
      <w:r>
        <w:rPr>
          <w:rFonts w:ascii="Lato" w:eastAsiaTheme="minorHAnsi" w:hAnsi="Lato" w:cs="Times New Roman"/>
          <w:b w:val="0"/>
          <w:color w:val="auto"/>
          <w:sz w:val="24"/>
          <w:szCs w:val="24"/>
        </w:rPr>
        <w:t>help participants</w:t>
      </w:r>
      <w:r w:rsidRPr="008628C7">
        <w:rPr>
          <w:rFonts w:ascii="Lato" w:eastAsiaTheme="minorHAnsi" w:hAnsi="Lato" w:cs="Times New Roman"/>
          <w:b w:val="0"/>
          <w:color w:val="auto"/>
          <w:sz w:val="24"/>
          <w:szCs w:val="24"/>
        </w:rPr>
        <w:t xml:space="preserve"> better understand the policy agenda of their agency and of government more broadly. </w:t>
      </w:r>
    </w:p>
    <w:p w:rsidR="005F059A" w:rsidRDefault="005F059A" w:rsidP="00D362AD">
      <w:pPr>
        <w:pStyle w:val="Style1"/>
      </w:pPr>
      <w:r>
        <w:t>Topic Covered</w:t>
      </w:r>
    </w:p>
    <w:p w:rsidR="00F4786B" w:rsidRDefault="00965152" w:rsidP="00D10048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Policy development in the Public Sector</w:t>
      </w:r>
    </w:p>
    <w:p w:rsidR="00965152" w:rsidRDefault="00965152" w:rsidP="00D10048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Understanding Policy, issue identification, and policy analysis</w:t>
      </w:r>
    </w:p>
    <w:p w:rsidR="00965152" w:rsidRDefault="00965152" w:rsidP="00D10048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Thinking tools, consultation and communication</w:t>
      </w:r>
    </w:p>
    <w:p w:rsidR="00965152" w:rsidRDefault="00965152" w:rsidP="00D10048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Determining the solution – drafting the policy</w:t>
      </w:r>
    </w:p>
    <w:p w:rsidR="00965152" w:rsidRDefault="00965152" w:rsidP="00D10048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Reaching and communicating decisions</w:t>
      </w:r>
    </w:p>
    <w:p w:rsidR="00965152" w:rsidRDefault="00965152" w:rsidP="00D10048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Policy implementation</w:t>
      </w:r>
    </w:p>
    <w:p w:rsidR="00965152" w:rsidRPr="00965152" w:rsidRDefault="00965152" w:rsidP="00D10048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Evaluating effectiveness</w:t>
      </w:r>
    </w:p>
    <w:p w:rsidR="00DE3386" w:rsidRPr="00433157" w:rsidRDefault="00DE3386" w:rsidP="00D362AD">
      <w:pPr>
        <w:pStyle w:val="Style1"/>
      </w:pPr>
      <w:r w:rsidRPr="00433157">
        <w:lastRenderedPageBreak/>
        <w:t>Learning Outcomes</w:t>
      </w:r>
    </w:p>
    <w:p w:rsidR="00D10048" w:rsidRDefault="004733A9" w:rsidP="00646719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Be familiar with a range of approaches to analyse, assess and develop evidence based public policy</w:t>
      </w:r>
    </w:p>
    <w:p w:rsidR="004733A9" w:rsidRDefault="004733A9" w:rsidP="00646719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Understand the range of policy instruments available to policy makers</w:t>
      </w:r>
    </w:p>
    <w:p w:rsidR="004733A9" w:rsidRDefault="004733A9" w:rsidP="00646719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Consider techniques for effective stakeholder engagement during the policy development cycle</w:t>
      </w:r>
    </w:p>
    <w:p w:rsidR="004733A9" w:rsidRDefault="004733A9" w:rsidP="00646719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Investigate and focus on developing robust and defensible public policy options</w:t>
      </w:r>
    </w:p>
    <w:p w:rsidR="004733A9" w:rsidRDefault="004733A9" w:rsidP="00646719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Apply a project management methodology for policy implementation</w:t>
      </w:r>
    </w:p>
    <w:p w:rsidR="004733A9" w:rsidRPr="00D10048" w:rsidRDefault="004733A9" w:rsidP="00646719">
      <w:pPr>
        <w:pStyle w:val="ListParagraph"/>
        <w:numPr>
          <w:ilvl w:val="0"/>
          <w:numId w:val="2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Understand the importance of continuous improvement and evaluation in the policy cycle</w:t>
      </w:r>
    </w:p>
    <w:p w:rsidR="00273AA7" w:rsidRPr="00E82F1A" w:rsidRDefault="00273AA7" w:rsidP="00D362AD">
      <w:pPr>
        <w:pStyle w:val="Style1"/>
      </w:pPr>
      <w:r w:rsidRPr="00E82F1A">
        <w:t>Prerequisite</w:t>
      </w:r>
    </w:p>
    <w:p w:rsidR="000002AC" w:rsidRDefault="004733A9" w:rsidP="000002AC">
      <w:pPr>
        <w:jc w:val="both"/>
        <w:rPr>
          <w:rStyle w:val="Heading2Char"/>
          <w:rFonts w:ascii="Lato" w:hAnsi="Lato"/>
          <w:b w:val="0"/>
          <w:bCs w:val="0"/>
          <w:sz w:val="24"/>
          <w:szCs w:val="24"/>
        </w:rPr>
      </w:pPr>
      <w:r>
        <w:rPr>
          <w:rFonts w:ascii="Lato" w:hAnsi="Lato"/>
          <w:sz w:val="24"/>
          <w:szCs w:val="24"/>
        </w:rPr>
        <w:t>N/A</w:t>
      </w:r>
    </w:p>
    <w:p w:rsidR="009B015B" w:rsidRDefault="009B015B" w:rsidP="00D362AD">
      <w:pPr>
        <w:pStyle w:val="Style1"/>
      </w:pPr>
      <w:r>
        <w:t>Middle Manager Development Framework Alignment</w:t>
      </w:r>
    </w:p>
    <w:p w:rsidR="00DB16F5" w:rsidRPr="008E4517" w:rsidRDefault="004733A9" w:rsidP="00DB16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</w:rPr>
      </w:pPr>
      <w:r>
        <w:rPr>
          <w:rFonts w:ascii="Lato" w:eastAsiaTheme="minorHAnsi" w:hAnsi="Lato" w:cs="Arial"/>
        </w:rPr>
        <w:t>Policy planning, development and implementation</w:t>
      </w:r>
    </w:p>
    <w:p w:rsidR="000D29EB" w:rsidRDefault="000D29EB" w:rsidP="00D362AD">
      <w:pPr>
        <w:pStyle w:val="Style1"/>
      </w:pPr>
    </w:p>
    <w:p w:rsidR="000144CD" w:rsidRPr="000D00F9" w:rsidRDefault="000144CD" w:rsidP="00D362AD">
      <w:pPr>
        <w:pStyle w:val="Style1"/>
      </w:pPr>
      <w:r w:rsidRPr="000D00F9">
        <w:t xml:space="preserve">To find out more about this course contact: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Office of the Commissioner for Public Employment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>Phone: (08) 8999 3708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Email: </w:t>
      </w:r>
      <w:r w:rsidRPr="00736A66">
        <w:rPr>
          <w:rStyle w:val="Hyperlink"/>
          <w:rFonts w:ascii="Lato" w:hAnsi="Lato"/>
          <w:color w:val="980044"/>
          <w:sz w:val="24"/>
          <w:szCs w:val="24"/>
          <w:lang w:eastAsia="en-AU"/>
        </w:rPr>
        <w:t>swpd.ocpe@nt.gov.au</w:t>
      </w:r>
      <w:r w:rsidRPr="00736A66">
        <w:rPr>
          <w:rFonts w:ascii="Lato" w:eastAsiaTheme="majorEastAsia" w:hAnsi="Lato"/>
          <w:bCs/>
          <w:color w:val="980044"/>
          <w:kern w:val="32"/>
          <w:sz w:val="24"/>
          <w:szCs w:val="24"/>
          <w:lang w:eastAsia="en-AU"/>
        </w:rPr>
        <w:t xml:space="preserve">   </w:t>
      </w:r>
    </w:p>
    <w:sectPr w:rsidR="000144CD" w:rsidRPr="000144CD" w:rsidSect="0070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05" w:rsidRDefault="00430105" w:rsidP="007332FF">
      <w:r>
        <w:separator/>
      </w:r>
    </w:p>
  </w:endnote>
  <w:endnote w:type="continuationSeparator" w:id="0">
    <w:p w:rsidR="00430105" w:rsidRDefault="0043010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panose1 w:val="020F0502020204030203"/>
    <w:charset w:val="00"/>
    <w:family w:val="auto"/>
    <w:pitch w:val="variable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 Semibold">
    <w:panose1 w:val="020F0502020204030203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38" w:rsidRDefault="00B43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79" w:rsidRPr="00543BD1" w:rsidRDefault="00E44379" w:rsidP="0016153B">
    <w:pPr>
      <w:pStyle w:val="NoSpacing"/>
      <w:spacing w:after="0"/>
      <w:rPr>
        <w:sz w:val="6"/>
        <w:szCs w:val="6"/>
      </w:rPr>
    </w:pPr>
  </w:p>
  <w:p w:rsidR="00746013" w:rsidRDefault="00746013" w:rsidP="00746013">
    <w:pPr>
      <w:pBdr>
        <w:top w:val="single" w:sz="4" w:space="1" w:color="auto"/>
      </w:pBdr>
      <w:spacing w:after="0"/>
      <w:rPr>
        <w:rStyle w:val="PageNumber"/>
      </w:rPr>
    </w:pPr>
  </w:p>
  <w:p w:rsidR="00746013" w:rsidRDefault="00746013" w:rsidP="00746013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2336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746013" w:rsidRDefault="00B20F42" w:rsidP="00746013">
    <w:pPr>
      <w:spacing w:after="0"/>
      <w:rPr>
        <w:rStyle w:val="PageNumber"/>
      </w:rPr>
    </w:pPr>
    <w:r>
      <w:rPr>
        <w:rStyle w:val="PageNumber"/>
      </w:rPr>
      <w:t>October 2022</w:t>
    </w:r>
  </w:p>
  <w:p w:rsidR="00746013" w:rsidRDefault="00746013" w:rsidP="00746013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B43638">
      <w:rPr>
        <w:rStyle w:val="PageNumber"/>
        <w:noProof/>
      </w:rPr>
      <w:t>2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B43638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983000" w:rsidRDefault="00983000" w:rsidP="00763C70">
    <w:pPr>
      <w:pStyle w:val="Footer"/>
      <w:rPr>
        <w:rStyle w:val="NTGFooter2deptpagenumChar"/>
        <w:sz w:val="22"/>
      </w:rPr>
    </w:pPr>
  </w:p>
  <w:p w:rsidR="00746013" w:rsidRDefault="00746013" w:rsidP="00763C70">
    <w:pPr>
      <w:pStyle w:val="Footer"/>
      <w:rPr>
        <w:rStyle w:val="NTGFooter2deptpagenumChar"/>
        <w:sz w:val="22"/>
      </w:rPr>
    </w:pPr>
  </w:p>
  <w:p w:rsidR="00746013" w:rsidRPr="00763C70" w:rsidRDefault="00746013" w:rsidP="00763C70">
    <w:pPr>
      <w:pStyle w:val="Footer"/>
      <w:rPr>
        <w:rStyle w:val="NTGFooter2deptpagenumChar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13" w:rsidRDefault="00746013" w:rsidP="00746013">
    <w:pPr>
      <w:spacing w:after="0"/>
      <w:rPr>
        <w:rStyle w:val="PageNumber"/>
      </w:rPr>
    </w:pPr>
  </w:p>
  <w:p w:rsidR="00746013" w:rsidRDefault="00746013" w:rsidP="00746013">
    <w:pPr>
      <w:pBdr>
        <w:top w:val="single" w:sz="4" w:space="1" w:color="auto"/>
      </w:pBdr>
      <w:spacing w:after="0"/>
      <w:rPr>
        <w:rStyle w:val="PageNumber"/>
      </w:rPr>
    </w:pPr>
  </w:p>
  <w:p w:rsidR="00746013" w:rsidRDefault="00746013" w:rsidP="00746013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0288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746013" w:rsidRDefault="00B43638" w:rsidP="00746013">
    <w:pPr>
      <w:spacing w:after="0"/>
      <w:rPr>
        <w:rStyle w:val="PageNumber"/>
      </w:rPr>
    </w:pPr>
    <w:r>
      <w:rPr>
        <w:rStyle w:val="PageNumber"/>
      </w:rPr>
      <w:t xml:space="preserve">July </w:t>
    </w:r>
    <w:r>
      <w:rPr>
        <w:rStyle w:val="PageNumber"/>
      </w:rPr>
      <w:t>2023</w:t>
    </w:r>
    <w:bookmarkStart w:id="0" w:name="_GoBack"/>
    <w:bookmarkEnd w:id="0"/>
  </w:p>
  <w:p w:rsidR="00746013" w:rsidRDefault="00746013" w:rsidP="00746013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B43638">
      <w:rPr>
        <w:rStyle w:val="PageNumber"/>
        <w:noProof/>
      </w:rPr>
      <w:t>1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B43638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983000" w:rsidRDefault="00983000" w:rsidP="0016153B">
    <w:pPr>
      <w:pStyle w:val="NoSpacing"/>
      <w:spacing w:after="0"/>
      <w:rPr>
        <w:sz w:val="6"/>
        <w:szCs w:val="6"/>
      </w:rPr>
    </w:pPr>
  </w:p>
  <w:p w:rsidR="00746013" w:rsidRDefault="00746013" w:rsidP="0016153B">
    <w:pPr>
      <w:pStyle w:val="NoSpacing"/>
      <w:spacing w:after="0"/>
      <w:rPr>
        <w:sz w:val="6"/>
        <w:szCs w:val="6"/>
      </w:rPr>
    </w:pPr>
  </w:p>
  <w:p w:rsidR="00746013" w:rsidRDefault="00746013" w:rsidP="0016153B">
    <w:pPr>
      <w:pStyle w:val="NoSpacing"/>
      <w:spacing w:after="0"/>
      <w:rPr>
        <w:sz w:val="6"/>
        <w:szCs w:val="6"/>
      </w:rPr>
    </w:pPr>
  </w:p>
  <w:p w:rsidR="00746013" w:rsidRDefault="00746013" w:rsidP="0016153B">
    <w:pPr>
      <w:pStyle w:val="NoSpacing"/>
      <w:spacing w:after="0"/>
      <w:rPr>
        <w:sz w:val="6"/>
        <w:szCs w:val="6"/>
      </w:rPr>
    </w:pPr>
  </w:p>
  <w:p w:rsidR="00746013" w:rsidRDefault="00746013" w:rsidP="0016153B">
    <w:pPr>
      <w:pStyle w:val="NoSpacing"/>
      <w:spacing w:after="0"/>
      <w:rPr>
        <w:sz w:val="6"/>
        <w:szCs w:val="6"/>
      </w:rPr>
    </w:pPr>
  </w:p>
  <w:p w:rsidR="00746013" w:rsidRDefault="00746013" w:rsidP="0016153B">
    <w:pPr>
      <w:pStyle w:val="NoSpacing"/>
      <w:spacing w:after="0"/>
      <w:rPr>
        <w:sz w:val="6"/>
        <w:szCs w:val="6"/>
      </w:rPr>
    </w:pPr>
  </w:p>
  <w:p w:rsidR="00746013" w:rsidRDefault="00746013" w:rsidP="0016153B">
    <w:pPr>
      <w:pStyle w:val="NoSpacing"/>
      <w:spacing w:after="0"/>
      <w:rPr>
        <w:sz w:val="6"/>
        <w:szCs w:val="6"/>
      </w:rPr>
    </w:pPr>
  </w:p>
  <w:p w:rsidR="00746013" w:rsidRDefault="00746013" w:rsidP="0016153B">
    <w:pPr>
      <w:pStyle w:val="NoSpacing"/>
      <w:spacing w:after="0"/>
      <w:rPr>
        <w:sz w:val="6"/>
        <w:szCs w:val="6"/>
      </w:rPr>
    </w:pPr>
  </w:p>
  <w:p w:rsidR="00746013" w:rsidRPr="00543BD1" w:rsidRDefault="00746013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05" w:rsidRDefault="00430105" w:rsidP="007332FF">
      <w:r>
        <w:separator/>
      </w:r>
    </w:p>
  </w:footnote>
  <w:footnote w:type="continuationSeparator" w:id="0">
    <w:p w:rsidR="00430105" w:rsidRDefault="0043010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38" w:rsidRDefault="00B43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13" w:rsidRPr="00746013" w:rsidRDefault="00746013">
    <w:pPr>
      <w:pStyle w:val="Header"/>
      <w:rPr>
        <w:rFonts w:ascii="LatoLatin Semibold" w:hAnsi="LatoLatin Semibold"/>
        <w:b w:val="0"/>
        <w:color w:val="1F1F5F"/>
        <w:sz w:val="24"/>
        <w:szCs w:val="24"/>
      </w:rPr>
    </w:pPr>
    <w:r w:rsidRPr="00746013">
      <w:rPr>
        <w:rFonts w:ascii="LatoLatin Semibold" w:hAnsi="LatoLatin Semibold"/>
        <w:b w:val="0"/>
        <w:color w:val="1F1F5F"/>
        <w:sz w:val="24"/>
        <w:szCs w:val="24"/>
      </w:rPr>
      <w:t>Practical Public Policy Design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1E" w:rsidRDefault="004733A9" w:rsidP="006C363A">
    <w:pPr>
      <w:pStyle w:val="Title"/>
      <w:rPr>
        <w:rFonts w:ascii="LatoLatin Semibold" w:hAnsi="LatoLatin Semibold"/>
        <w:b w:val="0"/>
        <w:color w:val="1F1F5F"/>
      </w:rPr>
    </w:pPr>
    <w:r w:rsidRPr="00D362AD">
      <w:rPr>
        <w:rFonts w:ascii="LatoLatin Semibold" w:hAnsi="LatoLatin Semibold"/>
        <w:b w:val="0"/>
        <w:color w:val="1F1F5F"/>
      </w:rPr>
      <w:t>Practical Public Policy Design</w:t>
    </w:r>
  </w:p>
  <w:p w:rsidR="000D29EB" w:rsidRPr="002A489A" w:rsidRDefault="000D29EB" w:rsidP="000D29EB">
    <w:pPr>
      <w:pStyle w:val="BodyText"/>
      <w:rPr>
        <w:rFonts w:ascii="Lato" w:hAnsi="Lato"/>
        <w:color w:val="980044"/>
      </w:rPr>
    </w:pPr>
    <w:r>
      <w:rPr>
        <w:rFonts w:ascii="Lato" w:hAnsi="Lato"/>
        <w:color w:val="980044"/>
      </w:rPr>
      <w:t>The role of government as a policy-maker and role of the public servant in effective policy development.</w:t>
    </w:r>
  </w:p>
  <w:p w:rsidR="006C363A" w:rsidRDefault="006C363A" w:rsidP="00BA6BE5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C9"/>
    <w:multiLevelType w:val="hybridMultilevel"/>
    <w:tmpl w:val="27F2BFB2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40"/>
    <w:multiLevelType w:val="hybridMultilevel"/>
    <w:tmpl w:val="ED94FA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79"/>
    <w:multiLevelType w:val="hybridMultilevel"/>
    <w:tmpl w:val="829C12D2"/>
    <w:lvl w:ilvl="0" w:tplc="40CAD676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722DB5"/>
    <w:multiLevelType w:val="hybridMultilevel"/>
    <w:tmpl w:val="6FC412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3D31D54"/>
    <w:multiLevelType w:val="hybridMultilevel"/>
    <w:tmpl w:val="BB94D6F2"/>
    <w:lvl w:ilvl="0" w:tplc="919ECD82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1F1F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876445A"/>
    <w:multiLevelType w:val="hybridMultilevel"/>
    <w:tmpl w:val="78B4F408"/>
    <w:lvl w:ilvl="0" w:tplc="E12E44BC">
      <w:numFmt w:val="bullet"/>
      <w:lvlText w:val=""/>
      <w:lvlJc w:val="left"/>
      <w:pPr>
        <w:ind w:left="108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4AF2323"/>
    <w:multiLevelType w:val="multilevel"/>
    <w:tmpl w:val="2258EEA0"/>
    <w:numStyleLink w:val="NTGStandardNumList"/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708041E"/>
    <w:multiLevelType w:val="multilevel"/>
    <w:tmpl w:val="2258EE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8C427C3"/>
    <w:multiLevelType w:val="hybridMultilevel"/>
    <w:tmpl w:val="3E0600EE"/>
    <w:lvl w:ilvl="0" w:tplc="192A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C434B73"/>
    <w:multiLevelType w:val="hybridMultilevel"/>
    <w:tmpl w:val="825CAC14"/>
    <w:lvl w:ilvl="0" w:tplc="FC6C79E4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1F1F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5D461302"/>
    <w:multiLevelType w:val="hybridMultilevel"/>
    <w:tmpl w:val="BDBAF7C8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3" w15:restartNumberingAfterBreak="0">
    <w:nsid w:val="6DC27561"/>
    <w:multiLevelType w:val="hybridMultilevel"/>
    <w:tmpl w:val="AFBE853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D265B70"/>
    <w:multiLevelType w:val="hybridMultilevel"/>
    <w:tmpl w:val="1DE6737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6"/>
  </w:num>
  <w:num w:numId="4">
    <w:abstractNumId w:val="29"/>
  </w:num>
  <w:num w:numId="5">
    <w:abstractNumId w:val="20"/>
  </w:num>
  <w:num w:numId="6">
    <w:abstractNumId w:val="11"/>
  </w:num>
  <w:num w:numId="7">
    <w:abstractNumId w:val="32"/>
  </w:num>
  <w:num w:numId="8">
    <w:abstractNumId w:val="19"/>
  </w:num>
  <w:num w:numId="9">
    <w:abstractNumId w:val="31"/>
  </w:num>
  <w:num w:numId="10">
    <w:abstractNumId w:val="1"/>
  </w:num>
  <w:num w:numId="11">
    <w:abstractNumId w:val="43"/>
  </w:num>
  <w:num w:numId="12">
    <w:abstractNumId w:val="47"/>
  </w:num>
  <w:num w:numId="13">
    <w:abstractNumId w:val="37"/>
  </w:num>
  <w:num w:numId="14">
    <w:abstractNumId w:val="2"/>
  </w:num>
  <w:num w:numId="15">
    <w:abstractNumId w:val="25"/>
  </w:num>
  <w:num w:numId="16">
    <w:abstractNumId w:val="0"/>
  </w:num>
  <w:num w:numId="17">
    <w:abstractNumId w:val="7"/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1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E"/>
    <w:rsid w:val="000002AC"/>
    <w:rsid w:val="00001DDF"/>
    <w:rsid w:val="0000322D"/>
    <w:rsid w:val="00007670"/>
    <w:rsid w:val="00010665"/>
    <w:rsid w:val="000144CD"/>
    <w:rsid w:val="0002393A"/>
    <w:rsid w:val="00027DB8"/>
    <w:rsid w:val="00031A96"/>
    <w:rsid w:val="00033C62"/>
    <w:rsid w:val="00040BF3"/>
    <w:rsid w:val="0004211C"/>
    <w:rsid w:val="00046C59"/>
    <w:rsid w:val="00051362"/>
    <w:rsid w:val="00051F45"/>
    <w:rsid w:val="00052953"/>
    <w:rsid w:val="0005341A"/>
    <w:rsid w:val="000559B1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0CF8"/>
    <w:rsid w:val="000911EF"/>
    <w:rsid w:val="000962C5"/>
    <w:rsid w:val="00097865"/>
    <w:rsid w:val="000A4317"/>
    <w:rsid w:val="000A559C"/>
    <w:rsid w:val="000B2CA1"/>
    <w:rsid w:val="000B3DB7"/>
    <w:rsid w:val="000D1F29"/>
    <w:rsid w:val="000D29EB"/>
    <w:rsid w:val="000D4482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8713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E3FA1"/>
    <w:rsid w:val="001E699F"/>
    <w:rsid w:val="001F59E6"/>
    <w:rsid w:val="00203E3F"/>
    <w:rsid w:val="00203F1C"/>
    <w:rsid w:val="00206936"/>
    <w:rsid w:val="00206C6F"/>
    <w:rsid w:val="00206FBD"/>
    <w:rsid w:val="00207746"/>
    <w:rsid w:val="00230031"/>
    <w:rsid w:val="00235C01"/>
    <w:rsid w:val="00247343"/>
    <w:rsid w:val="00255F27"/>
    <w:rsid w:val="00265C56"/>
    <w:rsid w:val="002716CD"/>
    <w:rsid w:val="00273AA7"/>
    <w:rsid w:val="00274D4B"/>
    <w:rsid w:val="002806F5"/>
    <w:rsid w:val="00281577"/>
    <w:rsid w:val="00285461"/>
    <w:rsid w:val="002926BC"/>
    <w:rsid w:val="00292849"/>
    <w:rsid w:val="00293A72"/>
    <w:rsid w:val="002A0160"/>
    <w:rsid w:val="002A30C3"/>
    <w:rsid w:val="002A6F6A"/>
    <w:rsid w:val="002A7712"/>
    <w:rsid w:val="002B0D88"/>
    <w:rsid w:val="002B38F7"/>
    <w:rsid w:val="002B5591"/>
    <w:rsid w:val="002B6AA4"/>
    <w:rsid w:val="002C1FE9"/>
    <w:rsid w:val="002D3A57"/>
    <w:rsid w:val="002D58CD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4F2"/>
    <w:rsid w:val="0030583E"/>
    <w:rsid w:val="00307FE1"/>
    <w:rsid w:val="003164BA"/>
    <w:rsid w:val="00321B95"/>
    <w:rsid w:val="003258E6"/>
    <w:rsid w:val="0033371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97110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E5214"/>
    <w:rsid w:val="003F5B58"/>
    <w:rsid w:val="0040222A"/>
    <w:rsid w:val="00402C1A"/>
    <w:rsid w:val="004047BC"/>
    <w:rsid w:val="004100F7"/>
    <w:rsid w:val="00414CB3"/>
    <w:rsid w:val="0041563D"/>
    <w:rsid w:val="00426E25"/>
    <w:rsid w:val="00427C76"/>
    <w:rsid w:val="00427D9C"/>
    <w:rsid w:val="00427E7E"/>
    <w:rsid w:val="00430105"/>
    <w:rsid w:val="00433157"/>
    <w:rsid w:val="0043465D"/>
    <w:rsid w:val="00443B6E"/>
    <w:rsid w:val="0045420A"/>
    <w:rsid w:val="004554D4"/>
    <w:rsid w:val="00461744"/>
    <w:rsid w:val="0046253E"/>
    <w:rsid w:val="004649E2"/>
    <w:rsid w:val="00466185"/>
    <w:rsid w:val="00466303"/>
    <w:rsid w:val="004668A7"/>
    <w:rsid w:val="00466D96"/>
    <w:rsid w:val="00467747"/>
    <w:rsid w:val="00470017"/>
    <w:rsid w:val="004733A9"/>
    <w:rsid w:val="00473C98"/>
    <w:rsid w:val="00474965"/>
    <w:rsid w:val="00482DF8"/>
    <w:rsid w:val="004864DE"/>
    <w:rsid w:val="00491F53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61AB"/>
    <w:rsid w:val="00500F94"/>
    <w:rsid w:val="00502FB3"/>
    <w:rsid w:val="0050360C"/>
    <w:rsid w:val="00503DE9"/>
    <w:rsid w:val="0050530C"/>
    <w:rsid w:val="00505DEA"/>
    <w:rsid w:val="00507782"/>
    <w:rsid w:val="00512A04"/>
    <w:rsid w:val="00520499"/>
    <w:rsid w:val="005249F5"/>
    <w:rsid w:val="005260F7"/>
    <w:rsid w:val="00527B73"/>
    <w:rsid w:val="00543BD1"/>
    <w:rsid w:val="005554A7"/>
    <w:rsid w:val="00556113"/>
    <w:rsid w:val="00563190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59A"/>
    <w:rsid w:val="005F0B17"/>
    <w:rsid w:val="005F77C7"/>
    <w:rsid w:val="00620675"/>
    <w:rsid w:val="00622910"/>
    <w:rsid w:val="006254B6"/>
    <w:rsid w:val="00625A3D"/>
    <w:rsid w:val="00627FC8"/>
    <w:rsid w:val="006433C3"/>
    <w:rsid w:val="00646719"/>
    <w:rsid w:val="006478AE"/>
    <w:rsid w:val="00650F5B"/>
    <w:rsid w:val="006670D7"/>
    <w:rsid w:val="006719EA"/>
    <w:rsid w:val="00671F13"/>
    <w:rsid w:val="006722DE"/>
    <w:rsid w:val="0067400A"/>
    <w:rsid w:val="006847AD"/>
    <w:rsid w:val="0069114B"/>
    <w:rsid w:val="006944C1"/>
    <w:rsid w:val="006A756A"/>
    <w:rsid w:val="006B0676"/>
    <w:rsid w:val="006C363A"/>
    <w:rsid w:val="006D66F7"/>
    <w:rsid w:val="006E651D"/>
    <w:rsid w:val="006F1FCA"/>
    <w:rsid w:val="00705C9D"/>
    <w:rsid w:val="00705F13"/>
    <w:rsid w:val="00714F1D"/>
    <w:rsid w:val="00715225"/>
    <w:rsid w:val="00717A88"/>
    <w:rsid w:val="00720CC6"/>
    <w:rsid w:val="00722DDB"/>
    <w:rsid w:val="00724728"/>
    <w:rsid w:val="00724F98"/>
    <w:rsid w:val="007261B8"/>
    <w:rsid w:val="00730B9B"/>
    <w:rsid w:val="0073182E"/>
    <w:rsid w:val="007332FF"/>
    <w:rsid w:val="00736A66"/>
    <w:rsid w:val="007408F5"/>
    <w:rsid w:val="00741EAE"/>
    <w:rsid w:val="00744889"/>
    <w:rsid w:val="00746013"/>
    <w:rsid w:val="00755248"/>
    <w:rsid w:val="0076190B"/>
    <w:rsid w:val="0076355D"/>
    <w:rsid w:val="00763A2D"/>
    <w:rsid w:val="00763C70"/>
    <w:rsid w:val="007676A4"/>
    <w:rsid w:val="00777795"/>
    <w:rsid w:val="00780CB8"/>
    <w:rsid w:val="00783A57"/>
    <w:rsid w:val="00784C92"/>
    <w:rsid w:val="007859CD"/>
    <w:rsid w:val="007907E4"/>
    <w:rsid w:val="0079491B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1F34"/>
    <w:rsid w:val="00867019"/>
    <w:rsid w:val="008735A9"/>
    <w:rsid w:val="0087414F"/>
    <w:rsid w:val="00877BC5"/>
    <w:rsid w:val="00877D20"/>
    <w:rsid w:val="00881C48"/>
    <w:rsid w:val="00885B80"/>
    <w:rsid w:val="00885C30"/>
    <w:rsid w:val="00885E9B"/>
    <w:rsid w:val="00893191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47FAE"/>
    <w:rsid w:val="009616DF"/>
    <w:rsid w:val="00965152"/>
    <w:rsid w:val="0096542F"/>
    <w:rsid w:val="009663D8"/>
    <w:rsid w:val="00967FA7"/>
    <w:rsid w:val="00971645"/>
    <w:rsid w:val="00977919"/>
    <w:rsid w:val="00983000"/>
    <w:rsid w:val="009870FA"/>
    <w:rsid w:val="009921C3"/>
    <w:rsid w:val="0099551D"/>
    <w:rsid w:val="009A24D5"/>
    <w:rsid w:val="009A271A"/>
    <w:rsid w:val="009A5236"/>
    <w:rsid w:val="009A5897"/>
    <w:rsid w:val="009A5F24"/>
    <w:rsid w:val="009B015B"/>
    <w:rsid w:val="009B0B3E"/>
    <w:rsid w:val="009B1913"/>
    <w:rsid w:val="009B6657"/>
    <w:rsid w:val="009C2233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A22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B3990"/>
    <w:rsid w:val="00AD0DA4"/>
    <w:rsid w:val="00AD4169"/>
    <w:rsid w:val="00AE25C6"/>
    <w:rsid w:val="00AE306C"/>
    <w:rsid w:val="00AF28C1"/>
    <w:rsid w:val="00AF7273"/>
    <w:rsid w:val="00B02EF1"/>
    <w:rsid w:val="00B07C97"/>
    <w:rsid w:val="00B11C67"/>
    <w:rsid w:val="00B15754"/>
    <w:rsid w:val="00B2046E"/>
    <w:rsid w:val="00B20E8B"/>
    <w:rsid w:val="00B20F42"/>
    <w:rsid w:val="00B257E1"/>
    <w:rsid w:val="00B2599A"/>
    <w:rsid w:val="00B27AC4"/>
    <w:rsid w:val="00B343CC"/>
    <w:rsid w:val="00B35408"/>
    <w:rsid w:val="00B43638"/>
    <w:rsid w:val="00B5084A"/>
    <w:rsid w:val="00B606A1"/>
    <w:rsid w:val="00B614F7"/>
    <w:rsid w:val="00B61B26"/>
    <w:rsid w:val="00B65E6B"/>
    <w:rsid w:val="00B66FD0"/>
    <w:rsid w:val="00B675B2"/>
    <w:rsid w:val="00B81261"/>
    <w:rsid w:val="00B81A1F"/>
    <w:rsid w:val="00B8223E"/>
    <w:rsid w:val="00B832AE"/>
    <w:rsid w:val="00B86678"/>
    <w:rsid w:val="00B92F9B"/>
    <w:rsid w:val="00B941B3"/>
    <w:rsid w:val="00B96513"/>
    <w:rsid w:val="00BA1D47"/>
    <w:rsid w:val="00BA66F0"/>
    <w:rsid w:val="00BA6BE5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248"/>
    <w:rsid w:val="00C10F10"/>
    <w:rsid w:val="00C12CBF"/>
    <w:rsid w:val="00C15D4D"/>
    <w:rsid w:val="00C175DC"/>
    <w:rsid w:val="00C30171"/>
    <w:rsid w:val="00C30404"/>
    <w:rsid w:val="00C309D8"/>
    <w:rsid w:val="00C3608C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4C38"/>
    <w:rsid w:val="00C86609"/>
    <w:rsid w:val="00C92B4C"/>
    <w:rsid w:val="00C954F6"/>
    <w:rsid w:val="00CA0793"/>
    <w:rsid w:val="00CA6BC5"/>
    <w:rsid w:val="00CC1C98"/>
    <w:rsid w:val="00CC61CD"/>
    <w:rsid w:val="00CC737B"/>
    <w:rsid w:val="00CD5011"/>
    <w:rsid w:val="00CE08F3"/>
    <w:rsid w:val="00CE640F"/>
    <w:rsid w:val="00CE76BC"/>
    <w:rsid w:val="00CF1DFC"/>
    <w:rsid w:val="00CF540E"/>
    <w:rsid w:val="00D02F07"/>
    <w:rsid w:val="00D10048"/>
    <w:rsid w:val="00D27EBE"/>
    <w:rsid w:val="00D362AD"/>
    <w:rsid w:val="00D36A49"/>
    <w:rsid w:val="00D517C6"/>
    <w:rsid w:val="00D65CEF"/>
    <w:rsid w:val="00D71D84"/>
    <w:rsid w:val="00D72464"/>
    <w:rsid w:val="00D75EB6"/>
    <w:rsid w:val="00D768EB"/>
    <w:rsid w:val="00D81E17"/>
    <w:rsid w:val="00D81E1E"/>
    <w:rsid w:val="00D82D1E"/>
    <w:rsid w:val="00D832D9"/>
    <w:rsid w:val="00D90F00"/>
    <w:rsid w:val="00D975C0"/>
    <w:rsid w:val="00DA5285"/>
    <w:rsid w:val="00DB16F5"/>
    <w:rsid w:val="00DB191D"/>
    <w:rsid w:val="00DB4F91"/>
    <w:rsid w:val="00DB50F0"/>
    <w:rsid w:val="00DB6D0A"/>
    <w:rsid w:val="00DC06BE"/>
    <w:rsid w:val="00DC1F0F"/>
    <w:rsid w:val="00DC3117"/>
    <w:rsid w:val="00DC5DD9"/>
    <w:rsid w:val="00DC6D2D"/>
    <w:rsid w:val="00DD4E59"/>
    <w:rsid w:val="00DE3386"/>
    <w:rsid w:val="00DE33B5"/>
    <w:rsid w:val="00DE5E18"/>
    <w:rsid w:val="00DF0487"/>
    <w:rsid w:val="00DF3145"/>
    <w:rsid w:val="00DF5EA4"/>
    <w:rsid w:val="00E02681"/>
    <w:rsid w:val="00E02792"/>
    <w:rsid w:val="00E034D8"/>
    <w:rsid w:val="00E035CB"/>
    <w:rsid w:val="00E04CC0"/>
    <w:rsid w:val="00E15288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379"/>
    <w:rsid w:val="00E44C89"/>
    <w:rsid w:val="00E457A6"/>
    <w:rsid w:val="00E61BA2"/>
    <w:rsid w:val="00E63864"/>
    <w:rsid w:val="00E6403F"/>
    <w:rsid w:val="00E75451"/>
    <w:rsid w:val="00E770C4"/>
    <w:rsid w:val="00E82F1A"/>
    <w:rsid w:val="00E84C5A"/>
    <w:rsid w:val="00E861DB"/>
    <w:rsid w:val="00E93406"/>
    <w:rsid w:val="00E956C5"/>
    <w:rsid w:val="00E95C39"/>
    <w:rsid w:val="00EA2C39"/>
    <w:rsid w:val="00EA476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3771E"/>
    <w:rsid w:val="00F4786B"/>
    <w:rsid w:val="00F52757"/>
    <w:rsid w:val="00F5696E"/>
    <w:rsid w:val="00F60EFF"/>
    <w:rsid w:val="00F6179F"/>
    <w:rsid w:val="00F67D2D"/>
    <w:rsid w:val="00F858F2"/>
    <w:rsid w:val="00F860CC"/>
    <w:rsid w:val="00F94398"/>
    <w:rsid w:val="00FA4F1B"/>
    <w:rsid w:val="00FB2B56"/>
    <w:rsid w:val="00FB55D5"/>
    <w:rsid w:val="00FC12BF"/>
    <w:rsid w:val="00FC2C60"/>
    <w:rsid w:val="00FD3E6F"/>
    <w:rsid w:val="00FD51B9"/>
    <w:rsid w:val="00FD5849"/>
    <w:rsid w:val="00FE185D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A309FE"/>
  <w15:docId w15:val="{91E890A0-F469-4A67-8590-CCAC498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66FD0"/>
    <w:pPr>
      <w:keepNext/>
      <w:keepLines/>
      <w:spacing w:before="240"/>
      <w:outlineLvl w:val="3"/>
    </w:pPr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66FD0"/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p,List Paragraph Guidelines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numbering" w:customStyle="1" w:styleId="NTGStandardNumList">
    <w:name w:val="NTG Standard Num List"/>
    <w:uiPriority w:val="99"/>
    <w:rsid w:val="00D81E1E"/>
    <w:pPr>
      <w:numPr>
        <w:numId w:val="9"/>
      </w:numPr>
    </w:pPr>
  </w:style>
  <w:style w:type="paragraph" w:customStyle="1" w:styleId="NTGdepartmentof">
    <w:name w:val="NTG department of"/>
    <w:link w:val="NTGdepartmentofChar"/>
    <w:uiPriority w:val="2"/>
    <w:rsid w:val="00D81E1E"/>
    <w:pPr>
      <w:spacing w:after="0"/>
    </w:pPr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D81E1E"/>
    <w:rPr>
      <w:rFonts w:ascii="Arial Black" w:hAnsi="Arial Black" w:cs="Lato Black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D81E1E"/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D81E1E"/>
    <w:rPr>
      <w:rFonts w:ascii="Arial Black" w:eastAsiaTheme="minorHAnsi" w:hAnsi="Arial Black" w:cs="Lato Black"/>
      <w:caps/>
      <w:color w:val="231F20"/>
      <w:sz w:val="20"/>
      <w:szCs w:val="24"/>
      <w:u w:color="000000"/>
      <w:lang w:eastAsia="ja-JP"/>
    </w:rPr>
  </w:style>
  <w:style w:type="paragraph" w:customStyle="1" w:styleId="NTGFooter1text">
    <w:name w:val="NTG Footer 1 text"/>
    <w:basedOn w:val="Normal"/>
    <w:link w:val="NTGFooter1textChar"/>
    <w:rsid w:val="00D81E1E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NTGFooter1textChar">
    <w:name w:val="NTG Footer 1 text Char"/>
    <w:basedOn w:val="DefaultParagraphFont"/>
    <w:link w:val="NTGFooter1text"/>
    <w:rsid w:val="00D81E1E"/>
    <w:rPr>
      <w:rFonts w:eastAsia="Times New Roman"/>
      <w:sz w:val="20"/>
      <w:szCs w:val="20"/>
      <w:lang w:eastAsia="en-AU"/>
    </w:rPr>
  </w:style>
  <w:style w:type="character" w:customStyle="1" w:styleId="ListParagraphChar">
    <w:name w:val="List Paragraph Char"/>
    <w:aliases w:val="lp Char,List Paragraph Guidelines Char"/>
    <w:link w:val="ListParagraph"/>
    <w:uiPriority w:val="34"/>
    <w:rsid w:val="00F3771E"/>
    <w:rPr>
      <w:rFonts w:eastAsiaTheme="minorEastAsia"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22DE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A7"/>
    <w:rPr>
      <w:b/>
      <w:bCs/>
      <w:sz w:val="20"/>
      <w:szCs w:val="20"/>
    </w:rPr>
  </w:style>
  <w:style w:type="paragraph" w:customStyle="1" w:styleId="Style1">
    <w:name w:val="Style1"/>
    <w:basedOn w:val="Heading4"/>
    <w:link w:val="Style1Char"/>
    <w:qFormat/>
    <w:rsid w:val="00D362AD"/>
    <w:rPr>
      <w:rFonts w:ascii="LatoLatin Semibold" w:hAnsi="LatoLatin Semibold"/>
      <w:b w:val="0"/>
      <w:color w:val="1F1F5F"/>
    </w:rPr>
  </w:style>
  <w:style w:type="character" w:customStyle="1" w:styleId="Style1Char">
    <w:name w:val="Style1 Char"/>
    <w:basedOn w:val="Heading4Char"/>
    <w:link w:val="Style1"/>
    <w:rsid w:val="00D362AD"/>
    <w:rPr>
      <w:rFonts w:ascii="LatoLatin Semibold" w:eastAsiaTheme="majorEastAsia" w:hAnsi="LatoLatin Semibold" w:cstheme="majorBidi"/>
      <w:b w:val="0"/>
      <w:bCs/>
      <w:iCs/>
      <w:color w:val="1F1F5F"/>
      <w:sz w:val="24"/>
      <w:szCs w:val="24"/>
    </w:rPr>
  </w:style>
  <w:style w:type="character" w:styleId="PageNumber">
    <w:name w:val="page number"/>
    <w:aliases w:val="Page number"/>
    <w:basedOn w:val="DefaultParagraphFont"/>
    <w:uiPriority w:val="8"/>
    <w:rsid w:val="00746013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D072-F16B-4CC1-B97B-3045A0B6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Vaidian</dc:creator>
  <cp:lastModifiedBy>Hazel Wilson</cp:lastModifiedBy>
  <cp:revision>16</cp:revision>
  <cp:lastPrinted>2022-10-05T00:47:00Z</cp:lastPrinted>
  <dcterms:created xsi:type="dcterms:W3CDTF">2020-02-24T07:18:00Z</dcterms:created>
  <dcterms:modified xsi:type="dcterms:W3CDTF">2023-07-06T06:11:00Z</dcterms:modified>
</cp:coreProperties>
</file>