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29A5" w14:textId="7D324F0B" w:rsidR="008205BC" w:rsidRPr="002253CF" w:rsidRDefault="00506B38" w:rsidP="00DC6000">
      <w:pPr>
        <w:pStyle w:val="Subtitle0"/>
        <w:numPr>
          <w:ilvl w:val="0"/>
          <w:numId w:val="0"/>
        </w:numPr>
        <w:jc w:val="left"/>
        <w:rPr>
          <w:sz w:val="56"/>
          <w:szCs w:val="56"/>
          <w:lang w:eastAsia="en-AU"/>
        </w:rPr>
      </w:pPr>
      <w:r>
        <w:rPr>
          <w:noProof/>
          <w:lang w:eastAsia="en-AU"/>
        </w:rPr>
        <w:t xml:space="preserve">Machinery of Government Changes </w:t>
      </w:r>
    </w:p>
    <w:p w14:paraId="15E4BDCB" w14:textId="7E515EBF" w:rsidR="00971C7D" w:rsidRPr="00DC6000" w:rsidRDefault="00971C7D" w:rsidP="00271804">
      <w:pPr>
        <w:pStyle w:val="Title"/>
        <w:spacing w:before="120" w:after="200"/>
        <w:rPr>
          <w:bCs w:val="0"/>
          <w:kern w:val="0"/>
          <w:sz w:val="36"/>
          <w:szCs w:val="28"/>
        </w:rPr>
      </w:pPr>
      <w:r w:rsidRPr="00DC6000">
        <w:rPr>
          <w:bCs w:val="0"/>
          <w:kern w:val="0"/>
          <w:sz w:val="36"/>
          <w:szCs w:val="28"/>
        </w:rPr>
        <w:t>Contents</w:t>
      </w:r>
    </w:p>
    <w:p w14:paraId="531C57E7" w14:textId="592E28D7" w:rsidR="00F04BF1" w:rsidRDefault="008205BC">
      <w:pPr>
        <w:pStyle w:val="TOC1"/>
        <w:rPr>
          <w:rFonts w:asciiTheme="minorHAnsi" w:eastAsiaTheme="minorEastAsia" w:hAnsiTheme="minorHAnsi" w:cstheme="minorBidi"/>
          <w:noProof/>
          <w:kern w:val="2"/>
          <w:lang w:eastAsia="en-AU"/>
          <w14:ligatures w14:val="standardContextual"/>
        </w:rPr>
      </w:pPr>
      <w:r>
        <w:rPr>
          <w:rFonts w:eastAsiaTheme="minorEastAsia"/>
          <w:iCs/>
          <w:lang w:eastAsia="en-AU"/>
        </w:rPr>
        <w:fldChar w:fldCharType="begin"/>
      </w:r>
      <w:r>
        <w:rPr>
          <w:rFonts w:eastAsiaTheme="minorEastAsia"/>
          <w:iCs/>
          <w:lang w:eastAsia="en-AU"/>
        </w:rPr>
        <w:instrText xml:space="preserve"> TOC \h \z \t "Heading 1,1" </w:instrText>
      </w:r>
      <w:r>
        <w:rPr>
          <w:rFonts w:eastAsiaTheme="minorEastAsia"/>
          <w:iCs/>
          <w:lang w:eastAsia="en-AU"/>
        </w:rPr>
        <w:fldChar w:fldCharType="separate"/>
      </w:r>
      <w:hyperlink w:anchor="_Toc176866172" w:history="1">
        <w:r w:rsidR="00F04BF1" w:rsidRPr="00545BE8">
          <w:rPr>
            <w:rStyle w:val="Hyperlink"/>
            <w:noProof/>
            <w:lang w:eastAsia="en-AU"/>
          </w:rPr>
          <w:t>What is a Machinery of Government (MoG) change?</w:t>
        </w:r>
        <w:r w:rsidR="00F04BF1">
          <w:rPr>
            <w:noProof/>
            <w:webHidden/>
          </w:rPr>
          <w:tab/>
        </w:r>
        <w:r w:rsidR="00F04BF1">
          <w:rPr>
            <w:noProof/>
            <w:webHidden/>
          </w:rPr>
          <w:fldChar w:fldCharType="begin"/>
        </w:r>
        <w:r w:rsidR="00F04BF1">
          <w:rPr>
            <w:noProof/>
            <w:webHidden/>
          </w:rPr>
          <w:instrText xml:space="preserve"> PAGEREF _Toc176866172 \h </w:instrText>
        </w:r>
        <w:r w:rsidR="00F04BF1">
          <w:rPr>
            <w:noProof/>
            <w:webHidden/>
          </w:rPr>
        </w:r>
        <w:r w:rsidR="00F04BF1">
          <w:rPr>
            <w:noProof/>
            <w:webHidden/>
          </w:rPr>
          <w:fldChar w:fldCharType="separate"/>
        </w:r>
        <w:r w:rsidR="00F04BF1">
          <w:rPr>
            <w:noProof/>
            <w:webHidden/>
          </w:rPr>
          <w:t>2</w:t>
        </w:r>
        <w:r w:rsidR="00F04BF1">
          <w:rPr>
            <w:noProof/>
            <w:webHidden/>
          </w:rPr>
          <w:fldChar w:fldCharType="end"/>
        </w:r>
      </w:hyperlink>
    </w:p>
    <w:p w14:paraId="01652B30" w14:textId="35487794"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3" w:history="1">
        <w:r w:rsidR="00F04BF1" w:rsidRPr="00545BE8">
          <w:rPr>
            <w:rStyle w:val="Hyperlink"/>
            <w:rFonts w:cs="Segoe UI"/>
            <w:noProof/>
          </w:rPr>
          <w:t>Why is this Machinery of Government change happening?</w:t>
        </w:r>
        <w:r w:rsidR="00F04BF1">
          <w:rPr>
            <w:noProof/>
            <w:webHidden/>
          </w:rPr>
          <w:tab/>
        </w:r>
        <w:r w:rsidR="00F04BF1">
          <w:rPr>
            <w:noProof/>
            <w:webHidden/>
          </w:rPr>
          <w:fldChar w:fldCharType="begin"/>
        </w:r>
        <w:r w:rsidR="00F04BF1">
          <w:rPr>
            <w:noProof/>
            <w:webHidden/>
          </w:rPr>
          <w:instrText xml:space="preserve"> PAGEREF _Toc176866173 \h </w:instrText>
        </w:r>
        <w:r w:rsidR="00F04BF1">
          <w:rPr>
            <w:noProof/>
            <w:webHidden/>
          </w:rPr>
        </w:r>
        <w:r w:rsidR="00F04BF1">
          <w:rPr>
            <w:noProof/>
            <w:webHidden/>
          </w:rPr>
          <w:fldChar w:fldCharType="separate"/>
        </w:r>
        <w:r w:rsidR="00F04BF1">
          <w:rPr>
            <w:noProof/>
            <w:webHidden/>
          </w:rPr>
          <w:t>2</w:t>
        </w:r>
        <w:r w:rsidR="00F04BF1">
          <w:rPr>
            <w:noProof/>
            <w:webHidden/>
          </w:rPr>
          <w:fldChar w:fldCharType="end"/>
        </w:r>
      </w:hyperlink>
    </w:p>
    <w:p w14:paraId="213683FE" w14:textId="733E82F4"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4" w:history="1">
        <w:r w:rsidR="00F04BF1" w:rsidRPr="00545BE8">
          <w:rPr>
            <w:rStyle w:val="Hyperlink"/>
            <w:noProof/>
          </w:rPr>
          <w:t>What are the new arrangements?</w:t>
        </w:r>
        <w:r w:rsidR="00F04BF1">
          <w:rPr>
            <w:noProof/>
            <w:webHidden/>
          </w:rPr>
          <w:tab/>
        </w:r>
        <w:r w:rsidR="00F04BF1">
          <w:rPr>
            <w:noProof/>
            <w:webHidden/>
          </w:rPr>
          <w:fldChar w:fldCharType="begin"/>
        </w:r>
        <w:r w:rsidR="00F04BF1">
          <w:rPr>
            <w:noProof/>
            <w:webHidden/>
          </w:rPr>
          <w:instrText xml:space="preserve"> PAGEREF _Toc176866174 \h </w:instrText>
        </w:r>
        <w:r w:rsidR="00F04BF1">
          <w:rPr>
            <w:noProof/>
            <w:webHidden/>
          </w:rPr>
        </w:r>
        <w:r w:rsidR="00F04BF1">
          <w:rPr>
            <w:noProof/>
            <w:webHidden/>
          </w:rPr>
          <w:fldChar w:fldCharType="separate"/>
        </w:r>
        <w:r w:rsidR="00F04BF1">
          <w:rPr>
            <w:noProof/>
            <w:webHidden/>
          </w:rPr>
          <w:t>2</w:t>
        </w:r>
        <w:r w:rsidR="00F04BF1">
          <w:rPr>
            <w:noProof/>
            <w:webHidden/>
          </w:rPr>
          <w:fldChar w:fldCharType="end"/>
        </w:r>
      </w:hyperlink>
    </w:p>
    <w:p w14:paraId="4372598D" w14:textId="2CFCC440"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5" w:history="1">
        <w:r w:rsidR="00F04BF1" w:rsidRPr="00545BE8">
          <w:rPr>
            <w:rStyle w:val="Hyperlink"/>
            <w:noProof/>
          </w:rPr>
          <w:t>When will the new arrangements take effect?</w:t>
        </w:r>
        <w:r w:rsidR="00F04BF1">
          <w:rPr>
            <w:noProof/>
            <w:webHidden/>
          </w:rPr>
          <w:tab/>
        </w:r>
        <w:r w:rsidR="00F04BF1">
          <w:rPr>
            <w:noProof/>
            <w:webHidden/>
          </w:rPr>
          <w:fldChar w:fldCharType="begin"/>
        </w:r>
        <w:r w:rsidR="00F04BF1">
          <w:rPr>
            <w:noProof/>
            <w:webHidden/>
          </w:rPr>
          <w:instrText xml:space="preserve"> PAGEREF _Toc176866175 \h </w:instrText>
        </w:r>
        <w:r w:rsidR="00F04BF1">
          <w:rPr>
            <w:noProof/>
            <w:webHidden/>
          </w:rPr>
        </w:r>
        <w:r w:rsidR="00F04BF1">
          <w:rPr>
            <w:noProof/>
            <w:webHidden/>
          </w:rPr>
          <w:fldChar w:fldCharType="separate"/>
        </w:r>
        <w:r w:rsidR="00F04BF1">
          <w:rPr>
            <w:noProof/>
            <w:webHidden/>
          </w:rPr>
          <w:t>2</w:t>
        </w:r>
        <w:r w:rsidR="00F04BF1">
          <w:rPr>
            <w:noProof/>
            <w:webHidden/>
          </w:rPr>
          <w:fldChar w:fldCharType="end"/>
        </w:r>
      </w:hyperlink>
    </w:p>
    <w:p w14:paraId="14E256FF" w14:textId="44588D92"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6" w:history="1">
        <w:r w:rsidR="00F04BF1" w:rsidRPr="00545BE8">
          <w:rPr>
            <w:rStyle w:val="Hyperlink"/>
            <w:noProof/>
          </w:rPr>
          <w:t>Do I have a say about how a MoG change that impacts me is implemented?</w:t>
        </w:r>
        <w:r w:rsidR="00F04BF1">
          <w:rPr>
            <w:noProof/>
            <w:webHidden/>
          </w:rPr>
          <w:tab/>
        </w:r>
        <w:r w:rsidR="00F04BF1">
          <w:rPr>
            <w:noProof/>
            <w:webHidden/>
          </w:rPr>
          <w:fldChar w:fldCharType="begin"/>
        </w:r>
        <w:r w:rsidR="00F04BF1">
          <w:rPr>
            <w:noProof/>
            <w:webHidden/>
          </w:rPr>
          <w:instrText xml:space="preserve"> PAGEREF _Toc176866176 \h </w:instrText>
        </w:r>
        <w:r w:rsidR="00F04BF1">
          <w:rPr>
            <w:noProof/>
            <w:webHidden/>
          </w:rPr>
        </w:r>
        <w:r w:rsidR="00F04BF1">
          <w:rPr>
            <w:noProof/>
            <w:webHidden/>
          </w:rPr>
          <w:fldChar w:fldCharType="separate"/>
        </w:r>
        <w:r w:rsidR="00F04BF1">
          <w:rPr>
            <w:noProof/>
            <w:webHidden/>
          </w:rPr>
          <w:t>3</w:t>
        </w:r>
        <w:r w:rsidR="00F04BF1">
          <w:rPr>
            <w:noProof/>
            <w:webHidden/>
          </w:rPr>
          <w:fldChar w:fldCharType="end"/>
        </w:r>
      </w:hyperlink>
    </w:p>
    <w:p w14:paraId="4A302B7C" w14:textId="2103BA87"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7" w:history="1">
        <w:r w:rsidR="00F04BF1" w:rsidRPr="00545BE8">
          <w:rPr>
            <w:rStyle w:val="Hyperlink"/>
            <w:noProof/>
          </w:rPr>
          <w:t>Will all affected employees be consulted on the changes?</w:t>
        </w:r>
        <w:r w:rsidR="00F04BF1">
          <w:rPr>
            <w:noProof/>
            <w:webHidden/>
          </w:rPr>
          <w:tab/>
        </w:r>
        <w:r w:rsidR="00F04BF1">
          <w:rPr>
            <w:noProof/>
            <w:webHidden/>
          </w:rPr>
          <w:fldChar w:fldCharType="begin"/>
        </w:r>
        <w:r w:rsidR="00F04BF1">
          <w:rPr>
            <w:noProof/>
            <w:webHidden/>
          </w:rPr>
          <w:instrText xml:space="preserve"> PAGEREF _Toc176866177 \h </w:instrText>
        </w:r>
        <w:r w:rsidR="00F04BF1">
          <w:rPr>
            <w:noProof/>
            <w:webHidden/>
          </w:rPr>
        </w:r>
        <w:r w:rsidR="00F04BF1">
          <w:rPr>
            <w:noProof/>
            <w:webHidden/>
          </w:rPr>
          <w:fldChar w:fldCharType="separate"/>
        </w:r>
        <w:r w:rsidR="00F04BF1">
          <w:rPr>
            <w:noProof/>
            <w:webHidden/>
          </w:rPr>
          <w:t>3</w:t>
        </w:r>
        <w:r w:rsidR="00F04BF1">
          <w:rPr>
            <w:noProof/>
            <w:webHidden/>
          </w:rPr>
          <w:fldChar w:fldCharType="end"/>
        </w:r>
      </w:hyperlink>
    </w:p>
    <w:p w14:paraId="35010C63" w14:textId="3731CA45"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8" w:history="1">
        <w:r w:rsidR="00F04BF1" w:rsidRPr="00545BE8">
          <w:rPr>
            <w:rStyle w:val="Hyperlink"/>
            <w:noProof/>
          </w:rPr>
          <w:t>What happens if I am on leave during MoG?</w:t>
        </w:r>
        <w:r w:rsidR="00F04BF1">
          <w:rPr>
            <w:noProof/>
            <w:webHidden/>
          </w:rPr>
          <w:tab/>
        </w:r>
        <w:r w:rsidR="00F04BF1">
          <w:rPr>
            <w:noProof/>
            <w:webHidden/>
          </w:rPr>
          <w:fldChar w:fldCharType="begin"/>
        </w:r>
        <w:r w:rsidR="00F04BF1">
          <w:rPr>
            <w:noProof/>
            <w:webHidden/>
          </w:rPr>
          <w:instrText xml:space="preserve"> PAGEREF _Toc176866178 \h </w:instrText>
        </w:r>
        <w:r w:rsidR="00F04BF1">
          <w:rPr>
            <w:noProof/>
            <w:webHidden/>
          </w:rPr>
        </w:r>
        <w:r w:rsidR="00F04BF1">
          <w:rPr>
            <w:noProof/>
            <w:webHidden/>
          </w:rPr>
          <w:fldChar w:fldCharType="separate"/>
        </w:r>
        <w:r w:rsidR="00F04BF1">
          <w:rPr>
            <w:noProof/>
            <w:webHidden/>
          </w:rPr>
          <w:t>3</w:t>
        </w:r>
        <w:r w:rsidR="00F04BF1">
          <w:rPr>
            <w:noProof/>
            <w:webHidden/>
          </w:rPr>
          <w:fldChar w:fldCharType="end"/>
        </w:r>
      </w:hyperlink>
    </w:p>
    <w:p w14:paraId="044511BA" w14:textId="0011A3C0"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79" w:history="1">
        <w:r w:rsidR="00F04BF1" w:rsidRPr="00545BE8">
          <w:rPr>
            <w:rStyle w:val="Hyperlink"/>
            <w:noProof/>
          </w:rPr>
          <w:t>What will happen if I am on workers compensation during MoG?</w:t>
        </w:r>
        <w:r w:rsidR="00F04BF1">
          <w:rPr>
            <w:noProof/>
            <w:webHidden/>
          </w:rPr>
          <w:tab/>
        </w:r>
        <w:r w:rsidR="00F04BF1">
          <w:rPr>
            <w:noProof/>
            <w:webHidden/>
          </w:rPr>
          <w:fldChar w:fldCharType="begin"/>
        </w:r>
        <w:r w:rsidR="00F04BF1">
          <w:rPr>
            <w:noProof/>
            <w:webHidden/>
          </w:rPr>
          <w:instrText xml:space="preserve"> PAGEREF _Toc176866179 \h </w:instrText>
        </w:r>
        <w:r w:rsidR="00F04BF1">
          <w:rPr>
            <w:noProof/>
            <w:webHidden/>
          </w:rPr>
        </w:r>
        <w:r w:rsidR="00F04BF1">
          <w:rPr>
            <w:noProof/>
            <w:webHidden/>
          </w:rPr>
          <w:fldChar w:fldCharType="separate"/>
        </w:r>
        <w:r w:rsidR="00F04BF1">
          <w:rPr>
            <w:noProof/>
            <w:webHidden/>
          </w:rPr>
          <w:t>3</w:t>
        </w:r>
        <w:r w:rsidR="00F04BF1">
          <w:rPr>
            <w:noProof/>
            <w:webHidden/>
          </w:rPr>
          <w:fldChar w:fldCharType="end"/>
        </w:r>
      </w:hyperlink>
    </w:p>
    <w:p w14:paraId="68C5C54A" w14:textId="3245C698"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0" w:history="1">
        <w:r w:rsidR="00F04BF1" w:rsidRPr="00545BE8">
          <w:rPr>
            <w:rStyle w:val="Hyperlink"/>
            <w:noProof/>
          </w:rPr>
          <w:t>What will happen if I am on a temporary transfer or higher duties in a different agency and the functions of my nominal position transfer to a new agency?</w:t>
        </w:r>
        <w:r w:rsidR="00F04BF1">
          <w:rPr>
            <w:noProof/>
            <w:webHidden/>
          </w:rPr>
          <w:tab/>
        </w:r>
        <w:r w:rsidR="00F04BF1">
          <w:rPr>
            <w:noProof/>
            <w:webHidden/>
          </w:rPr>
          <w:fldChar w:fldCharType="begin"/>
        </w:r>
        <w:r w:rsidR="00F04BF1">
          <w:rPr>
            <w:noProof/>
            <w:webHidden/>
          </w:rPr>
          <w:instrText xml:space="preserve"> PAGEREF _Toc176866180 \h </w:instrText>
        </w:r>
        <w:r w:rsidR="00F04BF1">
          <w:rPr>
            <w:noProof/>
            <w:webHidden/>
          </w:rPr>
        </w:r>
        <w:r w:rsidR="00F04BF1">
          <w:rPr>
            <w:noProof/>
            <w:webHidden/>
          </w:rPr>
          <w:fldChar w:fldCharType="separate"/>
        </w:r>
        <w:r w:rsidR="00F04BF1">
          <w:rPr>
            <w:noProof/>
            <w:webHidden/>
          </w:rPr>
          <w:t>4</w:t>
        </w:r>
        <w:r w:rsidR="00F04BF1">
          <w:rPr>
            <w:noProof/>
            <w:webHidden/>
          </w:rPr>
          <w:fldChar w:fldCharType="end"/>
        </w:r>
      </w:hyperlink>
    </w:p>
    <w:p w14:paraId="062E94FB" w14:textId="577CF50C"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1" w:history="1">
        <w:r w:rsidR="00F04BF1" w:rsidRPr="00545BE8">
          <w:rPr>
            <w:rStyle w:val="Hyperlink"/>
            <w:noProof/>
          </w:rPr>
          <w:t>If I am unattached or a redeployee, how will the change affect me?</w:t>
        </w:r>
        <w:r w:rsidR="00F04BF1">
          <w:rPr>
            <w:noProof/>
            <w:webHidden/>
          </w:rPr>
          <w:tab/>
        </w:r>
        <w:r w:rsidR="00F04BF1">
          <w:rPr>
            <w:noProof/>
            <w:webHidden/>
          </w:rPr>
          <w:fldChar w:fldCharType="begin"/>
        </w:r>
        <w:r w:rsidR="00F04BF1">
          <w:rPr>
            <w:noProof/>
            <w:webHidden/>
          </w:rPr>
          <w:instrText xml:space="preserve"> PAGEREF _Toc176866181 \h </w:instrText>
        </w:r>
        <w:r w:rsidR="00F04BF1">
          <w:rPr>
            <w:noProof/>
            <w:webHidden/>
          </w:rPr>
        </w:r>
        <w:r w:rsidR="00F04BF1">
          <w:rPr>
            <w:noProof/>
            <w:webHidden/>
          </w:rPr>
          <w:fldChar w:fldCharType="separate"/>
        </w:r>
        <w:r w:rsidR="00F04BF1">
          <w:rPr>
            <w:noProof/>
            <w:webHidden/>
          </w:rPr>
          <w:t>4</w:t>
        </w:r>
        <w:r w:rsidR="00F04BF1">
          <w:rPr>
            <w:noProof/>
            <w:webHidden/>
          </w:rPr>
          <w:fldChar w:fldCharType="end"/>
        </w:r>
      </w:hyperlink>
    </w:p>
    <w:p w14:paraId="441626A4" w14:textId="35BB2BF1"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2" w:history="1">
        <w:r w:rsidR="00F04BF1" w:rsidRPr="00545BE8">
          <w:rPr>
            <w:rStyle w:val="Hyperlink"/>
            <w:noProof/>
          </w:rPr>
          <w:t>If the functions of my role transfer to the new agency will my duties in the new agency remain the same?</w:t>
        </w:r>
        <w:r w:rsidR="00F04BF1">
          <w:rPr>
            <w:noProof/>
            <w:webHidden/>
          </w:rPr>
          <w:tab/>
        </w:r>
        <w:r w:rsidR="00F04BF1">
          <w:rPr>
            <w:noProof/>
            <w:webHidden/>
          </w:rPr>
          <w:fldChar w:fldCharType="begin"/>
        </w:r>
        <w:r w:rsidR="00F04BF1">
          <w:rPr>
            <w:noProof/>
            <w:webHidden/>
          </w:rPr>
          <w:instrText xml:space="preserve"> PAGEREF _Toc176866182 \h </w:instrText>
        </w:r>
        <w:r w:rsidR="00F04BF1">
          <w:rPr>
            <w:noProof/>
            <w:webHidden/>
          </w:rPr>
        </w:r>
        <w:r w:rsidR="00F04BF1">
          <w:rPr>
            <w:noProof/>
            <w:webHidden/>
          </w:rPr>
          <w:fldChar w:fldCharType="separate"/>
        </w:r>
        <w:r w:rsidR="00F04BF1">
          <w:rPr>
            <w:noProof/>
            <w:webHidden/>
          </w:rPr>
          <w:t>4</w:t>
        </w:r>
        <w:r w:rsidR="00F04BF1">
          <w:rPr>
            <w:noProof/>
            <w:webHidden/>
          </w:rPr>
          <w:fldChar w:fldCharType="end"/>
        </w:r>
      </w:hyperlink>
    </w:p>
    <w:p w14:paraId="20D54A08" w14:textId="344DBC60"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3" w:history="1">
        <w:r w:rsidR="00F04BF1" w:rsidRPr="00545BE8">
          <w:rPr>
            <w:rStyle w:val="Hyperlink"/>
            <w:noProof/>
          </w:rPr>
          <w:t>What will happen if I am currently in a supernumerary role or undertaking special projects?</w:t>
        </w:r>
        <w:r w:rsidR="00F04BF1">
          <w:rPr>
            <w:noProof/>
            <w:webHidden/>
          </w:rPr>
          <w:tab/>
        </w:r>
        <w:r w:rsidR="00F04BF1">
          <w:rPr>
            <w:noProof/>
            <w:webHidden/>
          </w:rPr>
          <w:fldChar w:fldCharType="begin"/>
        </w:r>
        <w:r w:rsidR="00F04BF1">
          <w:rPr>
            <w:noProof/>
            <w:webHidden/>
          </w:rPr>
          <w:instrText xml:space="preserve"> PAGEREF _Toc176866183 \h </w:instrText>
        </w:r>
        <w:r w:rsidR="00F04BF1">
          <w:rPr>
            <w:noProof/>
            <w:webHidden/>
          </w:rPr>
        </w:r>
        <w:r w:rsidR="00F04BF1">
          <w:rPr>
            <w:noProof/>
            <w:webHidden/>
          </w:rPr>
          <w:fldChar w:fldCharType="separate"/>
        </w:r>
        <w:r w:rsidR="00F04BF1">
          <w:rPr>
            <w:noProof/>
            <w:webHidden/>
          </w:rPr>
          <w:t>4</w:t>
        </w:r>
        <w:r w:rsidR="00F04BF1">
          <w:rPr>
            <w:noProof/>
            <w:webHidden/>
          </w:rPr>
          <w:fldChar w:fldCharType="end"/>
        </w:r>
      </w:hyperlink>
    </w:p>
    <w:p w14:paraId="3185D053" w14:textId="26F5456D"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4" w:history="1">
        <w:r w:rsidR="00F04BF1" w:rsidRPr="00545BE8">
          <w:rPr>
            <w:rStyle w:val="Hyperlink"/>
            <w:noProof/>
          </w:rPr>
          <w:t>If I have a flexible working arrangement in place will this continue in the new agency?</w:t>
        </w:r>
        <w:r w:rsidR="00F04BF1">
          <w:rPr>
            <w:noProof/>
            <w:webHidden/>
          </w:rPr>
          <w:tab/>
        </w:r>
        <w:r w:rsidR="00F04BF1">
          <w:rPr>
            <w:noProof/>
            <w:webHidden/>
          </w:rPr>
          <w:fldChar w:fldCharType="begin"/>
        </w:r>
        <w:r w:rsidR="00F04BF1">
          <w:rPr>
            <w:noProof/>
            <w:webHidden/>
          </w:rPr>
          <w:instrText xml:space="preserve"> PAGEREF _Toc176866184 \h </w:instrText>
        </w:r>
        <w:r w:rsidR="00F04BF1">
          <w:rPr>
            <w:noProof/>
            <w:webHidden/>
          </w:rPr>
        </w:r>
        <w:r w:rsidR="00F04BF1">
          <w:rPr>
            <w:noProof/>
            <w:webHidden/>
          </w:rPr>
          <w:fldChar w:fldCharType="separate"/>
        </w:r>
        <w:r w:rsidR="00F04BF1">
          <w:rPr>
            <w:noProof/>
            <w:webHidden/>
          </w:rPr>
          <w:t>4</w:t>
        </w:r>
        <w:r w:rsidR="00F04BF1">
          <w:rPr>
            <w:noProof/>
            <w:webHidden/>
          </w:rPr>
          <w:fldChar w:fldCharType="end"/>
        </w:r>
      </w:hyperlink>
    </w:p>
    <w:p w14:paraId="7595DB90" w14:textId="11FEA523"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5" w:history="1">
        <w:r w:rsidR="00F04BF1" w:rsidRPr="00545BE8">
          <w:rPr>
            <w:rStyle w:val="Hyperlink"/>
            <w:noProof/>
          </w:rPr>
          <w:t>If my work location changes, will I be required to move (e.g. currently working in Darwin city and my location changes to Palmerston)?</w:t>
        </w:r>
        <w:r w:rsidR="00F04BF1">
          <w:rPr>
            <w:noProof/>
            <w:webHidden/>
          </w:rPr>
          <w:tab/>
        </w:r>
        <w:r w:rsidR="00F04BF1">
          <w:rPr>
            <w:noProof/>
            <w:webHidden/>
          </w:rPr>
          <w:fldChar w:fldCharType="begin"/>
        </w:r>
        <w:r w:rsidR="00F04BF1">
          <w:rPr>
            <w:noProof/>
            <w:webHidden/>
          </w:rPr>
          <w:instrText xml:space="preserve"> PAGEREF _Toc176866185 \h </w:instrText>
        </w:r>
        <w:r w:rsidR="00F04BF1">
          <w:rPr>
            <w:noProof/>
            <w:webHidden/>
          </w:rPr>
        </w:r>
        <w:r w:rsidR="00F04BF1">
          <w:rPr>
            <w:noProof/>
            <w:webHidden/>
          </w:rPr>
          <w:fldChar w:fldCharType="separate"/>
        </w:r>
        <w:r w:rsidR="00F04BF1">
          <w:rPr>
            <w:noProof/>
            <w:webHidden/>
          </w:rPr>
          <w:t>5</w:t>
        </w:r>
        <w:r w:rsidR="00F04BF1">
          <w:rPr>
            <w:noProof/>
            <w:webHidden/>
          </w:rPr>
          <w:fldChar w:fldCharType="end"/>
        </w:r>
      </w:hyperlink>
    </w:p>
    <w:p w14:paraId="1115143C" w14:textId="539373E1"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6" w:history="1">
        <w:r w:rsidR="00F04BF1" w:rsidRPr="00545BE8">
          <w:rPr>
            <w:rStyle w:val="Hyperlink"/>
            <w:noProof/>
            <w:lang w:eastAsia="en-AU"/>
          </w:rPr>
          <w:t>Where can I get support?</w:t>
        </w:r>
        <w:r w:rsidR="00F04BF1">
          <w:rPr>
            <w:noProof/>
            <w:webHidden/>
          </w:rPr>
          <w:tab/>
        </w:r>
        <w:r w:rsidR="00F04BF1">
          <w:rPr>
            <w:noProof/>
            <w:webHidden/>
          </w:rPr>
          <w:fldChar w:fldCharType="begin"/>
        </w:r>
        <w:r w:rsidR="00F04BF1">
          <w:rPr>
            <w:noProof/>
            <w:webHidden/>
          </w:rPr>
          <w:instrText xml:space="preserve"> PAGEREF _Toc176866186 \h </w:instrText>
        </w:r>
        <w:r w:rsidR="00F04BF1">
          <w:rPr>
            <w:noProof/>
            <w:webHidden/>
          </w:rPr>
        </w:r>
        <w:r w:rsidR="00F04BF1">
          <w:rPr>
            <w:noProof/>
            <w:webHidden/>
          </w:rPr>
          <w:fldChar w:fldCharType="separate"/>
        </w:r>
        <w:r w:rsidR="00F04BF1">
          <w:rPr>
            <w:noProof/>
            <w:webHidden/>
          </w:rPr>
          <w:t>5</w:t>
        </w:r>
        <w:r w:rsidR="00F04BF1">
          <w:rPr>
            <w:noProof/>
            <w:webHidden/>
          </w:rPr>
          <w:fldChar w:fldCharType="end"/>
        </w:r>
      </w:hyperlink>
    </w:p>
    <w:p w14:paraId="70B5EB14" w14:textId="26F25991" w:rsidR="00F04BF1" w:rsidRDefault="00000000">
      <w:pPr>
        <w:pStyle w:val="TOC1"/>
        <w:rPr>
          <w:rFonts w:asciiTheme="minorHAnsi" w:eastAsiaTheme="minorEastAsia" w:hAnsiTheme="minorHAnsi" w:cstheme="minorBidi"/>
          <w:noProof/>
          <w:kern w:val="2"/>
          <w:lang w:eastAsia="en-AU"/>
          <w14:ligatures w14:val="standardContextual"/>
        </w:rPr>
      </w:pPr>
      <w:hyperlink w:anchor="_Toc176866187" w:history="1">
        <w:r w:rsidR="00F04BF1" w:rsidRPr="00545BE8">
          <w:rPr>
            <w:rStyle w:val="Hyperlink"/>
            <w:noProof/>
            <w:lang w:eastAsia="en-AU"/>
          </w:rPr>
          <w:t>Further information</w:t>
        </w:r>
        <w:r w:rsidR="00F04BF1">
          <w:rPr>
            <w:noProof/>
            <w:webHidden/>
          </w:rPr>
          <w:tab/>
        </w:r>
        <w:r w:rsidR="00F04BF1">
          <w:rPr>
            <w:noProof/>
            <w:webHidden/>
          </w:rPr>
          <w:fldChar w:fldCharType="begin"/>
        </w:r>
        <w:r w:rsidR="00F04BF1">
          <w:rPr>
            <w:noProof/>
            <w:webHidden/>
          </w:rPr>
          <w:instrText xml:space="preserve"> PAGEREF _Toc176866187 \h </w:instrText>
        </w:r>
        <w:r w:rsidR="00F04BF1">
          <w:rPr>
            <w:noProof/>
            <w:webHidden/>
          </w:rPr>
        </w:r>
        <w:r w:rsidR="00F04BF1">
          <w:rPr>
            <w:noProof/>
            <w:webHidden/>
          </w:rPr>
          <w:fldChar w:fldCharType="separate"/>
        </w:r>
        <w:r w:rsidR="00F04BF1">
          <w:rPr>
            <w:noProof/>
            <w:webHidden/>
          </w:rPr>
          <w:t>5</w:t>
        </w:r>
        <w:r w:rsidR="00F04BF1">
          <w:rPr>
            <w:noProof/>
            <w:webHidden/>
          </w:rPr>
          <w:fldChar w:fldCharType="end"/>
        </w:r>
      </w:hyperlink>
    </w:p>
    <w:p w14:paraId="303034D7" w14:textId="0E0861B1" w:rsidR="00506B38" w:rsidRDefault="008205BC" w:rsidP="00506B38">
      <w:pPr>
        <w:pStyle w:val="Heading1"/>
        <w:jc w:val="both"/>
        <w:rPr>
          <w:rFonts w:ascii="Lato" w:eastAsiaTheme="minorEastAsia" w:hAnsi="Lato"/>
          <w:iCs/>
          <w:color w:val="auto"/>
          <w:kern w:val="0"/>
          <w:sz w:val="22"/>
          <w:szCs w:val="22"/>
          <w:lang w:eastAsia="en-AU"/>
        </w:rPr>
      </w:pPr>
      <w:r>
        <w:rPr>
          <w:rFonts w:ascii="Lato" w:eastAsiaTheme="minorEastAsia" w:hAnsi="Lato"/>
          <w:iCs/>
          <w:color w:val="auto"/>
          <w:kern w:val="0"/>
          <w:sz w:val="22"/>
          <w:szCs w:val="22"/>
          <w:lang w:eastAsia="en-AU"/>
        </w:rPr>
        <w:fldChar w:fldCharType="end"/>
      </w:r>
    </w:p>
    <w:p w14:paraId="612B2F6A" w14:textId="77777777" w:rsidR="00506B38" w:rsidRDefault="00506B38">
      <w:pPr>
        <w:rPr>
          <w:rFonts w:eastAsiaTheme="minorEastAsia"/>
          <w:iCs/>
          <w:lang w:eastAsia="en-AU"/>
        </w:rPr>
      </w:pPr>
      <w:r>
        <w:rPr>
          <w:rFonts w:eastAsiaTheme="minorEastAsia"/>
          <w:iCs/>
          <w:lang w:eastAsia="en-AU"/>
        </w:rPr>
        <w:br w:type="page"/>
      </w:r>
    </w:p>
    <w:p w14:paraId="0A1E2A7B" w14:textId="4467E78F" w:rsidR="00506B38" w:rsidRDefault="00506B38" w:rsidP="00506B38">
      <w:pPr>
        <w:pStyle w:val="Heading1"/>
        <w:jc w:val="both"/>
        <w:rPr>
          <w:szCs w:val="36"/>
          <w:lang w:eastAsia="en-AU"/>
        </w:rPr>
      </w:pPr>
      <w:bookmarkStart w:id="0" w:name="_Toc176866172"/>
      <w:r>
        <w:rPr>
          <w:szCs w:val="36"/>
          <w:lang w:eastAsia="en-AU"/>
        </w:rPr>
        <w:lastRenderedPageBreak/>
        <w:t>What is a Machinery of Government (MoG) change?</w:t>
      </w:r>
      <w:bookmarkEnd w:id="0"/>
    </w:p>
    <w:p w14:paraId="7FE2A3DD" w14:textId="77777777" w:rsidR="00031067" w:rsidRPr="006165F9" w:rsidRDefault="00031067" w:rsidP="00031067">
      <w:pPr>
        <w:spacing w:before="120" w:after="120"/>
        <w:jc w:val="both"/>
        <w:rPr>
          <w:lang w:eastAsia="en-AU"/>
        </w:rPr>
      </w:pPr>
      <w:r>
        <w:rPr>
          <w:lang w:eastAsia="en-AU"/>
        </w:rPr>
        <w:t xml:space="preserve">A MoG change is a decision of the elected Government. </w:t>
      </w:r>
    </w:p>
    <w:p w14:paraId="5E21C5E7" w14:textId="34B546CD" w:rsidR="00506B38" w:rsidRPr="00506B38" w:rsidRDefault="00506B38" w:rsidP="00506B38">
      <w:pPr>
        <w:spacing w:before="120" w:after="120"/>
        <w:jc w:val="both"/>
        <w:rPr>
          <w:lang w:eastAsia="en-AU"/>
        </w:rPr>
      </w:pPr>
      <w:r w:rsidRPr="00506B38">
        <w:rPr>
          <w:lang w:eastAsia="en-AU"/>
        </w:rPr>
        <w:t>A Machinery of Government (MoG) change occurs when the government decides to change the way government responsibilities or functions are managed. It can involve the movement of functions, resources and people from one agency to another.</w:t>
      </w:r>
    </w:p>
    <w:p w14:paraId="5C70A4D5" w14:textId="301D3434" w:rsidR="00506B38" w:rsidRPr="00506B38" w:rsidRDefault="00506B38" w:rsidP="00506B38">
      <w:pPr>
        <w:spacing w:before="120" w:after="120"/>
        <w:jc w:val="both"/>
        <w:rPr>
          <w:lang w:eastAsia="en-AU"/>
        </w:rPr>
      </w:pPr>
      <w:r w:rsidRPr="00506B38">
        <w:rPr>
          <w:lang w:eastAsia="en-AU"/>
        </w:rPr>
        <w:t>This MoG change can lead to</w:t>
      </w:r>
      <w:r w:rsidR="009B5444">
        <w:rPr>
          <w:lang w:eastAsia="en-AU"/>
        </w:rPr>
        <w:t xml:space="preserve"> the</w:t>
      </w:r>
      <w:r w:rsidRPr="00506B38">
        <w:rPr>
          <w:lang w:eastAsia="en-AU"/>
        </w:rPr>
        <w:t xml:space="preserve">: </w:t>
      </w:r>
    </w:p>
    <w:p w14:paraId="687065F4" w14:textId="7BFC490A" w:rsidR="00506B38" w:rsidRDefault="00506B38" w:rsidP="00506B38">
      <w:pPr>
        <w:numPr>
          <w:ilvl w:val="0"/>
          <w:numId w:val="16"/>
        </w:numPr>
        <w:spacing w:before="120" w:after="120"/>
        <w:jc w:val="both"/>
        <w:rPr>
          <w:lang w:eastAsia="en-AU"/>
        </w:rPr>
      </w:pPr>
      <w:r w:rsidRPr="00506B38">
        <w:rPr>
          <w:lang w:eastAsia="en-AU"/>
        </w:rPr>
        <w:t xml:space="preserve">creation of a new </w:t>
      </w:r>
      <w:r w:rsidR="00F04BF1">
        <w:rPr>
          <w:lang w:eastAsia="en-AU"/>
        </w:rPr>
        <w:t>NTPS</w:t>
      </w:r>
      <w:r w:rsidRPr="00506B38">
        <w:rPr>
          <w:lang w:eastAsia="en-AU"/>
        </w:rPr>
        <w:t xml:space="preserve"> </w:t>
      </w:r>
      <w:r w:rsidR="009B5444" w:rsidRPr="00506B38">
        <w:rPr>
          <w:lang w:eastAsia="en-AU"/>
        </w:rPr>
        <w:t>agency</w:t>
      </w:r>
      <w:r w:rsidR="00031067">
        <w:rPr>
          <w:lang w:eastAsia="en-AU"/>
        </w:rPr>
        <w:t xml:space="preserve"> or business </w:t>
      </w:r>
      <w:proofErr w:type="gramStart"/>
      <w:r w:rsidR="00031067">
        <w:rPr>
          <w:lang w:eastAsia="en-AU"/>
        </w:rPr>
        <w:t>division;</w:t>
      </w:r>
      <w:proofErr w:type="gramEnd"/>
    </w:p>
    <w:p w14:paraId="5B98200F" w14:textId="464315B8" w:rsidR="00031067" w:rsidRPr="00506B38" w:rsidRDefault="00031067" w:rsidP="00506B38">
      <w:pPr>
        <w:numPr>
          <w:ilvl w:val="0"/>
          <w:numId w:val="16"/>
        </w:numPr>
        <w:spacing w:before="120" w:after="120"/>
        <w:jc w:val="both"/>
        <w:rPr>
          <w:lang w:eastAsia="en-AU"/>
        </w:rPr>
      </w:pPr>
      <w:r>
        <w:rPr>
          <w:lang w:eastAsia="en-AU"/>
        </w:rPr>
        <w:t xml:space="preserve">amalgamation </w:t>
      </w:r>
      <w:r w:rsidR="00F04BF1">
        <w:rPr>
          <w:lang w:eastAsia="en-AU"/>
        </w:rPr>
        <w:t xml:space="preserve">or </w:t>
      </w:r>
      <w:r>
        <w:rPr>
          <w:lang w:eastAsia="en-AU"/>
        </w:rPr>
        <w:t xml:space="preserve">of existing agencies or parts of </w:t>
      </w:r>
      <w:proofErr w:type="gramStart"/>
      <w:r>
        <w:rPr>
          <w:lang w:eastAsia="en-AU"/>
        </w:rPr>
        <w:t>agencies;</w:t>
      </w:r>
      <w:proofErr w:type="gramEnd"/>
    </w:p>
    <w:p w14:paraId="3B043508" w14:textId="6BCBDFF6" w:rsidR="00506B38" w:rsidRPr="00506B38" w:rsidRDefault="00506B38" w:rsidP="00506B38">
      <w:pPr>
        <w:numPr>
          <w:ilvl w:val="0"/>
          <w:numId w:val="16"/>
        </w:numPr>
        <w:spacing w:before="120" w:after="120"/>
        <w:jc w:val="both"/>
        <w:rPr>
          <w:lang w:eastAsia="en-AU"/>
        </w:rPr>
      </w:pPr>
      <w:r w:rsidRPr="00506B38">
        <w:rPr>
          <w:lang w:eastAsia="en-AU"/>
        </w:rPr>
        <w:t xml:space="preserve">closure of an existing government agency; and/or </w:t>
      </w:r>
    </w:p>
    <w:p w14:paraId="2B734342" w14:textId="719EB068" w:rsidR="00506B38" w:rsidRPr="00506B38" w:rsidRDefault="00506B38" w:rsidP="00506B38">
      <w:pPr>
        <w:numPr>
          <w:ilvl w:val="0"/>
          <w:numId w:val="16"/>
        </w:numPr>
        <w:spacing w:before="120" w:after="120"/>
        <w:jc w:val="both"/>
        <w:rPr>
          <w:lang w:eastAsia="en-AU"/>
        </w:rPr>
      </w:pPr>
      <w:r w:rsidRPr="00506B38">
        <w:rPr>
          <w:lang w:eastAsia="en-AU"/>
        </w:rPr>
        <w:t xml:space="preserve">movement of functions and responsibilities from an NTPS agency to another NTPS agency. </w:t>
      </w:r>
    </w:p>
    <w:p w14:paraId="01C1B226" w14:textId="77777777" w:rsidR="00506B38" w:rsidRPr="00506B38" w:rsidRDefault="00506B38" w:rsidP="00506B38">
      <w:pPr>
        <w:spacing w:before="120" w:after="120"/>
        <w:jc w:val="both"/>
        <w:rPr>
          <w:lang w:eastAsia="en-AU"/>
        </w:rPr>
      </w:pPr>
      <w:r w:rsidRPr="00506B38">
        <w:rPr>
          <w:lang w:eastAsia="en-AU"/>
        </w:rPr>
        <w:t>The “Management of Change” clause in the relevant enterprise agreement that is applicable to your employment applies to MoG changes, see link below.</w:t>
      </w:r>
    </w:p>
    <w:p w14:paraId="5D2BB8D8" w14:textId="03E80F87" w:rsidR="00506B38" w:rsidRDefault="00000000" w:rsidP="00506B38">
      <w:pPr>
        <w:spacing w:before="120" w:after="120"/>
        <w:jc w:val="both"/>
        <w:rPr>
          <w:u w:val="single"/>
          <w:lang w:eastAsia="en-AU"/>
        </w:rPr>
      </w:pPr>
      <w:hyperlink r:id="rId9" w:history="1">
        <w:r w:rsidR="00506B38" w:rsidRPr="00506B38">
          <w:rPr>
            <w:rStyle w:val="Hyperlink"/>
            <w:lang w:eastAsia="en-AU"/>
          </w:rPr>
          <w:t>https://ocpe.nt.gov.au/employment-conditions-appeals-grievances/current-enterprise-agreement</w:t>
        </w:r>
        <w:r w:rsidR="00506B38" w:rsidRPr="0059750A">
          <w:rPr>
            <w:rStyle w:val="Hyperlink"/>
            <w:lang w:eastAsia="en-AU"/>
          </w:rPr>
          <w:t>s</w:t>
        </w:r>
      </w:hyperlink>
      <w:r w:rsidR="00506B38">
        <w:rPr>
          <w:u w:val="single"/>
          <w:lang w:eastAsia="en-AU"/>
        </w:rPr>
        <w:t xml:space="preserve"> </w:t>
      </w:r>
      <w:r w:rsidR="00506B38" w:rsidRPr="00506B38">
        <w:rPr>
          <w:u w:val="single"/>
          <w:lang w:eastAsia="en-AU"/>
        </w:rPr>
        <w:t xml:space="preserve"> </w:t>
      </w:r>
    </w:p>
    <w:p w14:paraId="25CEEC78" w14:textId="16A519E6" w:rsidR="00031067" w:rsidRPr="00AC767A" w:rsidRDefault="00031067" w:rsidP="00031067">
      <w:pPr>
        <w:pStyle w:val="Heading1"/>
        <w:jc w:val="both"/>
        <w:rPr>
          <w:rFonts w:cs="Segoe UI"/>
        </w:rPr>
      </w:pPr>
      <w:bookmarkStart w:id="1" w:name="_Toc176866173"/>
      <w:r w:rsidRPr="00AC767A">
        <w:rPr>
          <w:rFonts w:cs="Segoe UI"/>
        </w:rPr>
        <w:t>Why is this Machinery of Government change happening?</w:t>
      </w:r>
      <w:bookmarkEnd w:id="1"/>
    </w:p>
    <w:p w14:paraId="0E526B86" w14:textId="77777777" w:rsidR="00031067" w:rsidRDefault="00031067" w:rsidP="00031067">
      <w:pPr>
        <w:spacing w:after="0"/>
      </w:pPr>
      <w:r w:rsidRPr="00AC767A">
        <w:t>The newly elected Northern Territory Government is transitioning the public service to new arrangements to support three key objectives:</w:t>
      </w:r>
    </w:p>
    <w:p w14:paraId="6582EE46" w14:textId="77777777" w:rsidR="00F135A5" w:rsidRPr="00AC767A" w:rsidRDefault="00F135A5" w:rsidP="00031067">
      <w:pPr>
        <w:spacing w:after="0"/>
      </w:pPr>
    </w:p>
    <w:p w14:paraId="3FAB635A" w14:textId="77777777" w:rsidR="00031067" w:rsidRPr="00AC767A" w:rsidRDefault="00031067" w:rsidP="00031067">
      <w:pPr>
        <w:numPr>
          <w:ilvl w:val="0"/>
          <w:numId w:val="22"/>
        </w:numPr>
        <w:rPr>
          <w:rFonts w:eastAsia="Times New Roman" w:cs="Segoe UI"/>
          <w:i/>
          <w:iCs/>
        </w:rPr>
      </w:pPr>
      <w:r w:rsidRPr="00AC767A">
        <w:rPr>
          <w:rFonts w:eastAsia="Times New Roman" w:cs="Segoe UI"/>
        </w:rPr>
        <w:t xml:space="preserve">Aligning our public sector structures with our </w:t>
      </w:r>
      <w:bookmarkStart w:id="2" w:name="_Int_sAcwNh7I"/>
      <w:proofErr w:type="gramStart"/>
      <w:r w:rsidRPr="00AC767A">
        <w:rPr>
          <w:rFonts w:eastAsia="Times New Roman" w:cs="Segoe UI"/>
        </w:rPr>
        <w:t>Government’s</w:t>
      </w:r>
      <w:bookmarkEnd w:id="2"/>
      <w:proofErr w:type="gramEnd"/>
      <w:r w:rsidRPr="00AC767A">
        <w:rPr>
          <w:rFonts w:eastAsia="Times New Roman" w:cs="Segoe UI"/>
        </w:rPr>
        <w:t xml:space="preserve"> top priorities: </w:t>
      </w:r>
      <w:r w:rsidRPr="00AC767A">
        <w:rPr>
          <w:rFonts w:eastAsia="Times New Roman" w:cs="Segoe UI"/>
          <w:i/>
          <w:iCs/>
        </w:rPr>
        <w:t>reduce crime, rebuild the economy, and restore our unique Territory lifestyle.</w:t>
      </w:r>
    </w:p>
    <w:p w14:paraId="2D0F442B" w14:textId="77777777" w:rsidR="00031067" w:rsidRPr="00AC767A" w:rsidRDefault="00031067" w:rsidP="00031067">
      <w:pPr>
        <w:numPr>
          <w:ilvl w:val="0"/>
          <w:numId w:val="22"/>
        </w:numPr>
        <w:rPr>
          <w:rFonts w:eastAsia="Times New Roman" w:cs="Segoe UI"/>
        </w:rPr>
      </w:pPr>
      <w:r w:rsidRPr="00AC767A">
        <w:rPr>
          <w:rFonts w:eastAsia="Times New Roman" w:cs="Segoe UI"/>
        </w:rPr>
        <w:t>Building a stronger, more specialised public service with technical expertise in smaller departments.</w:t>
      </w:r>
    </w:p>
    <w:p w14:paraId="3DB7029C" w14:textId="77777777" w:rsidR="00031067" w:rsidRPr="00AC767A" w:rsidRDefault="00031067" w:rsidP="00031067">
      <w:pPr>
        <w:numPr>
          <w:ilvl w:val="0"/>
          <w:numId w:val="22"/>
        </w:numPr>
        <w:spacing w:after="240"/>
        <w:rPr>
          <w:rFonts w:eastAsia="Times New Roman" w:cs="Segoe UI"/>
        </w:rPr>
      </w:pPr>
      <w:r w:rsidRPr="00AC767A">
        <w:rPr>
          <w:rFonts w:eastAsia="Times New Roman" w:cs="Segoe UI"/>
        </w:rPr>
        <w:t>Empowering quicker and informed decisions, made closer to the ground, with structures that enable the public service to be agile and responsive.</w:t>
      </w:r>
    </w:p>
    <w:p w14:paraId="26235E13" w14:textId="2B364275" w:rsidR="00031067" w:rsidRPr="00AC767A" w:rsidRDefault="00031067" w:rsidP="00F04BF1">
      <w:pPr>
        <w:spacing w:after="0"/>
      </w:pPr>
      <w:r w:rsidRPr="00AC767A">
        <w:t>It is important that our public sector arrangements are focused to support Government delivering key commitments and that resources are aligned to enable this</w:t>
      </w:r>
      <w:r w:rsidR="00F04BF1" w:rsidRPr="00AC767A">
        <w:t>.</w:t>
      </w:r>
    </w:p>
    <w:p w14:paraId="56F268BA" w14:textId="77777777" w:rsidR="00F04BF1" w:rsidRPr="00AC767A" w:rsidRDefault="00F04BF1" w:rsidP="00F04BF1">
      <w:pPr>
        <w:pStyle w:val="Heading1"/>
        <w:jc w:val="both"/>
      </w:pPr>
      <w:bookmarkStart w:id="3" w:name="_Toc176866174"/>
      <w:r w:rsidRPr="00AC767A">
        <w:t>What are the new arrangements?</w:t>
      </w:r>
      <w:bookmarkEnd w:id="3"/>
    </w:p>
    <w:p w14:paraId="2CA87E1D" w14:textId="333360DE" w:rsidR="00F04BF1" w:rsidRPr="00AC767A" w:rsidRDefault="00F04BF1" w:rsidP="00F04BF1">
      <w:r w:rsidRPr="00AC767A">
        <w:t xml:space="preserve">There are 18 agencies in the new administrative </w:t>
      </w:r>
      <w:r w:rsidR="00AC767A" w:rsidRPr="00AC767A">
        <w:t>arrangements,</w:t>
      </w:r>
      <w:r w:rsidRPr="00AC767A">
        <w:t xml:space="preserve"> and you can find details about these here: </w:t>
      </w:r>
      <w:hyperlink r:id="rId10" w:history="1">
        <w:r w:rsidR="00AC767A">
          <w:rPr>
            <w:rStyle w:val="Hyperlink"/>
          </w:rPr>
          <w:t>Legislation Database (nt.gov.au)</w:t>
        </w:r>
      </w:hyperlink>
      <w:r w:rsidR="00AC767A">
        <w:t xml:space="preserve"> </w:t>
      </w:r>
    </w:p>
    <w:p w14:paraId="509D9339" w14:textId="77777777" w:rsidR="00F04BF1" w:rsidRPr="00AC767A" w:rsidRDefault="00F04BF1" w:rsidP="00F04BF1">
      <w:pPr>
        <w:pStyle w:val="Heading1"/>
        <w:jc w:val="both"/>
      </w:pPr>
      <w:bookmarkStart w:id="4" w:name="_Toc176866175"/>
      <w:r w:rsidRPr="00AC767A">
        <w:t>When will the new arrangements take effect?</w:t>
      </w:r>
      <w:bookmarkEnd w:id="4"/>
    </w:p>
    <w:p w14:paraId="4825CE8B" w14:textId="784C58F8" w:rsidR="00F04BF1" w:rsidRPr="00AC767A" w:rsidRDefault="00F04BF1" w:rsidP="00F04BF1">
      <w:pPr>
        <w:spacing w:line="257" w:lineRule="auto"/>
        <w:jc w:val="both"/>
      </w:pPr>
      <w:r w:rsidRPr="00AC767A">
        <w:t xml:space="preserve">The new Administrative Arrangements Order (No. 3) 2024 issued on 10 September 2024 formalise the changes. </w:t>
      </w:r>
    </w:p>
    <w:p w14:paraId="6D71865B" w14:textId="77777777" w:rsidR="00F04BF1" w:rsidRPr="00AC767A" w:rsidRDefault="00F04BF1" w:rsidP="00F04BF1">
      <w:r w:rsidRPr="00AC767A">
        <w:t xml:space="preserve">Your CEO will keep you informed about how transition arrangements impact your agency, and your current manager will advise arrangements and timing for any changes that impact you. </w:t>
      </w:r>
    </w:p>
    <w:p w14:paraId="373C456C" w14:textId="77777777" w:rsidR="00F04BF1" w:rsidRDefault="00F04BF1" w:rsidP="00F04BF1">
      <w:r w:rsidRPr="00AC767A">
        <w:t>There will be regular updates at the agency level via email and online.</w:t>
      </w:r>
      <w:r>
        <w:t xml:space="preserve">  </w:t>
      </w:r>
    </w:p>
    <w:p w14:paraId="6381BCDA" w14:textId="6A0DCA4D" w:rsidR="00506B38" w:rsidRPr="00506B38" w:rsidRDefault="00031067" w:rsidP="00506B38">
      <w:pPr>
        <w:pStyle w:val="Heading1"/>
        <w:jc w:val="both"/>
      </w:pPr>
      <w:bookmarkStart w:id="5" w:name="_Toc176866176"/>
      <w:r>
        <w:lastRenderedPageBreak/>
        <w:t>D</w:t>
      </w:r>
      <w:r w:rsidR="00506B38" w:rsidRPr="00506B38">
        <w:t xml:space="preserve">o I have a say about how a MoG change </w:t>
      </w:r>
      <w:r w:rsidR="00F04BF1">
        <w:t xml:space="preserve">that impacts me </w:t>
      </w:r>
      <w:r w:rsidR="00506B38" w:rsidRPr="00506B38">
        <w:t>is implemented?</w:t>
      </w:r>
      <w:bookmarkEnd w:id="5"/>
    </w:p>
    <w:p w14:paraId="212C53DE" w14:textId="76F3D382" w:rsidR="00BB5E57" w:rsidRPr="004C01FC" w:rsidRDefault="00506B38" w:rsidP="00506B38">
      <w:pPr>
        <w:jc w:val="both"/>
      </w:pPr>
      <w:r>
        <w:t>Yes, you will be consulted on the implementation of MoG change. Consultation offers you a genuine opportunity to</w:t>
      </w:r>
      <w:r w:rsidR="00F04BF1">
        <w:t xml:space="preserve"> have input into</w:t>
      </w:r>
      <w:r>
        <w:t xml:space="preserve"> how change </w:t>
      </w:r>
      <w:r w:rsidR="00F04BF1">
        <w:t xml:space="preserve">that impacts you </w:t>
      </w:r>
      <w:r>
        <w:t>is implemented. Consultation requirements are set out in the relevant NTPS enterprise agreement</w:t>
      </w:r>
      <w:r w:rsidR="00F04BF1">
        <w:t>s</w:t>
      </w:r>
      <w:r>
        <w:t>.</w:t>
      </w:r>
      <w:r w:rsidR="00F04BF1">
        <w:t xml:space="preserve">  </w:t>
      </w:r>
    </w:p>
    <w:p w14:paraId="1A1E43F3" w14:textId="69F9ED47" w:rsidR="00506B38" w:rsidRPr="00506B38" w:rsidRDefault="00506B38" w:rsidP="00506B38">
      <w:pPr>
        <w:pStyle w:val="Heading1"/>
        <w:jc w:val="both"/>
      </w:pPr>
      <w:bookmarkStart w:id="6" w:name="_Toc176866177"/>
      <w:r w:rsidRPr="00506B38">
        <w:t>Will all affected employees be consulted on the changes?</w:t>
      </w:r>
      <w:bookmarkEnd w:id="6"/>
    </w:p>
    <w:p w14:paraId="162189BC" w14:textId="446264F3" w:rsidR="00506B38" w:rsidRPr="004C01FC" w:rsidRDefault="00506B38" w:rsidP="00506B38">
      <w:pPr>
        <w:jc w:val="both"/>
      </w:pPr>
      <w:r w:rsidRPr="004C01FC">
        <w:t>Yes</w:t>
      </w:r>
      <w:r>
        <w:t xml:space="preserve">, including employees on leave or temporary transfer to other agencies. Agencies will determine the best method of communication ensuring all </w:t>
      </w:r>
      <w:r w:rsidR="00F04BF1">
        <w:t xml:space="preserve">impacted </w:t>
      </w:r>
      <w:r>
        <w:t>employees are kept informed of changes.</w:t>
      </w:r>
      <w:r w:rsidR="006165F9">
        <w:t xml:space="preserve"> This may be delegated to relevant managers in an agency.</w:t>
      </w:r>
    </w:p>
    <w:p w14:paraId="674E86CB" w14:textId="77777777" w:rsidR="00506B38" w:rsidRPr="00506B38" w:rsidRDefault="00506B38" w:rsidP="00506B38">
      <w:pPr>
        <w:pStyle w:val="Heading1"/>
        <w:jc w:val="both"/>
      </w:pPr>
      <w:bookmarkStart w:id="7" w:name="_Toc176866178"/>
      <w:r w:rsidRPr="00506B38">
        <w:t>What happens if I am on leave during MoG?</w:t>
      </w:r>
      <w:bookmarkEnd w:id="7"/>
    </w:p>
    <w:p w14:paraId="4A960425" w14:textId="77777777" w:rsidR="00506B38" w:rsidRPr="004C01FC" w:rsidRDefault="00506B38" w:rsidP="00506B38">
      <w:pPr>
        <w:jc w:val="both"/>
      </w:pPr>
      <w:r>
        <w:t>If you are on leave you will be contacted for consultation purposes. If the functions of your role move to another agency,</w:t>
      </w:r>
      <w:r w:rsidRPr="004C01FC">
        <w:t xml:space="preserve"> </w:t>
      </w:r>
      <w:r>
        <w:t>you will also move to the new agency on the date of the MoG change. You will start work there when your leave ends.</w:t>
      </w:r>
    </w:p>
    <w:p w14:paraId="7819F57B" w14:textId="77777777" w:rsidR="00506B38" w:rsidRPr="00506B38" w:rsidRDefault="00506B38" w:rsidP="00506B38">
      <w:pPr>
        <w:pStyle w:val="Heading1"/>
        <w:jc w:val="both"/>
      </w:pPr>
      <w:bookmarkStart w:id="8" w:name="_Toc176866179"/>
      <w:r w:rsidRPr="00506B38">
        <w:t>What will happen if I am on workers compensation during MoG?</w:t>
      </w:r>
      <w:bookmarkEnd w:id="8"/>
    </w:p>
    <w:p w14:paraId="16EB6A7E" w14:textId="46CD843C" w:rsidR="00506B38" w:rsidRDefault="00506B38" w:rsidP="00506B38">
      <w:pPr>
        <w:jc w:val="both"/>
      </w:pPr>
      <w:r>
        <w:t xml:space="preserve">If you are on workers compensation, you will be contacted for consultation purposes. </w:t>
      </w:r>
      <w:r w:rsidRPr="004C01FC">
        <w:t xml:space="preserve">If the </w:t>
      </w:r>
      <w:proofErr w:type="gramStart"/>
      <w:r w:rsidRPr="004C01FC">
        <w:t>functions</w:t>
      </w:r>
      <w:proofErr w:type="gramEnd"/>
      <w:r w:rsidRPr="004C01FC">
        <w:t xml:space="preserve"> of </w:t>
      </w:r>
      <w:r>
        <w:t>your</w:t>
      </w:r>
      <w:r w:rsidRPr="004C01FC">
        <w:t xml:space="preserve"> role </w:t>
      </w:r>
      <w:r>
        <w:t>moves</w:t>
      </w:r>
      <w:r w:rsidRPr="004C01FC">
        <w:t xml:space="preserve"> to another agency, </w:t>
      </w:r>
      <w:r w:rsidR="00CC7628" w:rsidRPr="00CC7628">
        <w:rPr>
          <w:i/>
          <w:iCs/>
        </w:rPr>
        <w:t>then unless there is a reason related to your claim</w:t>
      </w:r>
      <w:r w:rsidR="00CC7628">
        <w:t xml:space="preserve">, </w:t>
      </w:r>
      <w:r>
        <w:t>you will also move to the new agency. Your rehabilitation rights will continue with the new agency.</w:t>
      </w:r>
    </w:p>
    <w:p w14:paraId="793542E9" w14:textId="5CF33C9B" w:rsidR="00CC7628" w:rsidRPr="008146FF" w:rsidRDefault="00CC7628" w:rsidP="00506B38">
      <w:pPr>
        <w:jc w:val="both"/>
      </w:pPr>
      <w:r w:rsidRPr="008146FF">
        <w:t>Gallagher Bassett and your assigned rehabilitation provider will be able to provide further information regarding your rights under your claim and you should contact them as soon as possible should you have any concerns.</w:t>
      </w:r>
    </w:p>
    <w:p w14:paraId="36EED8AA" w14:textId="77777777" w:rsidR="008146FF" w:rsidRDefault="008146FF">
      <w:pPr>
        <w:rPr>
          <w:rFonts w:ascii="Lato SemiBold" w:eastAsia="Times New Roman" w:hAnsi="Lato SemiBold"/>
          <w:color w:val="1F1F5F"/>
          <w:kern w:val="32"/>
          <w:sz w:val="36"/>
          <w:szCs w:val="32"/>
        </w:rPr>
      </w:pPr>
      <w:r>
        <w:br w:type="page"/>
      </w:r>
    </w:p>
    <w:p w14:paraId="0BDC14DA" w14:textId="36D22554" w:rsidR="00506B38" w:rsidRPr="00506B38" w:rsidRDefault="00506B38" w:rsidP="00506B38">
      <w:pPr>
        <w:pStyle w:val="Heading1"/>
        <w:jc w:val="both"/>
      </w:pPr>
      <w:bookmarkStart w:id="9" w:name="_Toc176866180"/>
      <w:r w:rsidRPr="00506B38">
        <w:lastRenderedPageBreak/>
        <w:t>What will happen if I am on a temporary transfer or higher duties in a different agency and the functions of my nominal position transfer to a new agency?</w:t>
      </w:r>
      <w:bookmarkEnd w:id="9"/>
    </w:p>
    <w:p w14:paraId="15189E54" w14:textId="77777777" w:rsidR="00506B38" w:rsidRDefault="00506B38" w:rsidP="00506B38">
      <w:pPr>
        <w:spacing w:before="120" w:after="120"/>
        <w:jc w:val="both"/>
      </w:pPr>
      <w:r w:rsidRPr="008A7366">
        <w:t>If you are on a temporary transfer or higher duties with a different agency and the functions of your nominal position transfer to a new agency, the following will happen:</w:t>
      </w:r>
    </w:p>
    <w:p w14:paraId="54A54443" w14:textId="1FDC98FD" w:rsidR="00506B38" w:rsidRPr="00506B38" w:rsidRDefault="00506B38" w:rsidP="00506B38">
      <w:pPr>
        <w:pStyle w:val="ListParagraph"/>
        <w:numPr>
          <w:ilvl w:val="0"/>
          <w:numId w:val="19"/>
        </w:numPr>
        <w:spacing w:before="120"/>
        <w:jc w:val="both"/>
      </w:pPr>
      <w:r w:rsidRPr="00506B38">
        <w:t>your nominal position will move to the new agency</w:t>
      </w:r>
      <w:r>
        <w:t>; and</w:t>
      </w:r>
    </w:p>
    <w:p w14:paraId="63389D46" w14:textId="77777777" w:rsidR="00506B38" w:rsidRDefault="00506B38" w:rsidP="00506B38">
      <w:pPr>
        <w:pStyle w:val="ListParagraph"/>
        <w:numPr>
          <w:ilvl w:val="0"/>
          <w:numId w:val="19"/>
        </w:numPr>
        <w:spacing w:before="120"/>
        <w:jc w:val="both"/>
      </w:pPr>
      <w:r w:rsidRPr="00506B38">
        <w:t>you will start with your new agency at the end of the transfer/higher duties period.</w:t>
      </w:r>
    </w:p>
    <w:p w14:paraId="33F65A75" w14:textId="4513EEB0" w:rsidR="00A87725" w:rsidRPr="008146FF" w:rsidRDefault="00A87725" w:rsidP="00A87725">
      <w:pPr>
        <w:spacing w:before="120"/>
        <w:jc w:val="both"/>
      </w:pPr>
      <w:r w:rsidRPr="008146FF">
        <w:t xml:space="preserve">If there are any MoG changes impacting your higher </w:t>
      </w:r>
      <w:proofErr w:type="gramStart"/>
      <w:r w:rsidRPr="008146FF">
        <w:t>duties</w:t>
      </w:r>
      <w:proofErr w:type="gramEnd"/>
      <w:r w:rsidRPr="008146FF">
        <w:t xml:space="preserve"> role your current manager will </w:t>
      </w:r>
      <w:r w:rsidR="00CC7628" w:rsidRPr="008146FF">
        <w:t>consult with you about any impact these may have</w:t>
      </w:r>
      <w:r w:rsidRPr="008146FF">
        <w:t>.</w:t>
      </w:r>
    </w:p>
    <w:p w14:paraId="40A41F8E" w14:textId="6C031F16" w:rsidR="00506B38" w:rsidRPr="00506B38" w:rsidRDefault="00506B38" w:rsidP="00506B38">
      <w:pPr>
        <w:pStyle w:val="Heading1"/>
        <w:jc w:val="both"/>
      </w:pPr>
      <w:bookmarkStart w:id="10" w:name="_Toc176866181"/>
      <w:r w:rsidRPr="00506B38">
        <w:t>If I am unattached or a redeployee, how will the change affect me?</w:t>
      </w:r>
      <w:bookmarkEnd w:id="10"/>
    </w:p>
    <w:p w14:paraId="735B7249" w14:textId="77777777" w:rsidR="00506B38" w:rsidRPr="0061436D" w:rsidRDefault="00506B38" w:rsidP="00506B38">
      <w:pPr>
        <w:spacing w:before="120" w:after="120"/>
        <w:jc w:val="both"/>
      </w:pPr>
      <w:r w:rsidRPr="0061436D">
        <w:t>If you are a redeployee at the time of MoG, your status as a redeployee will not change.</w:t>
      </w:r>
    </w:p>
    <w:p w14:paraId="163C4359" w14:textId="77777777" w:rsidR="00506B38" w:rsidRDefault="00506B38" w:rsidP="00506B38">
      <w:pPr>
        <w:spacing w:before="120" w:after="120"/>
        <w:jc w:val="both"/>
      </w:pPr>
      <w:r w:rsidRPr="0061436D">
        <w:t>If the functions you are currently undertaking are transferred to a new agency, one of the following will happen:</w:t>
      </w:r>
    </w:p>
    <w:p w14:paraId="416B2F1D" w14:textId="77777777" w:rsidR="00506B38" w:rsidRPr="00506B38" w:rsidRDefault="00506B38" w:rsidP="00506B38">
      <w:pPr>
        <w:pStyle w:val="ListParagraph"/>
        <w:numPr>
          <w:ilvl w:val="0"/>
          <w:numId w:val="18"/>
        </w:numPr>
        <w:spacing w:before="120"/>
        <w:jc w:val="both"/>
      </w:pPr>
      <w:r w:rsidRPr="00506B38">
        <w:t>you will either transfer or</w:t>
      </w:r>
    </w:p>
    <w:p w14:paraId="47FB33D7" w14:textId="77777777" w:rsidR="00506B38" w:rsidRPr="00506B38" w:rsidRDefault="00506B38" w:rsidP="00506B38">
      <w:pPr>
        <w:pStyle w:val="ListParagraph"/>
        <w:numPr>
          <w:ilvl w:val="0"/>
          <w:numId w:val="18"/>
        </w:numPr>
        <w:spacing w:before="120"/>
        <w:jc w:val="both"/>
      </w:pPr>
      <w:r w:rsidRPr="00506B38">
        <w:t>remain in your current agency.</w:t>
      </w:r>
    </w:p>
    <w:p w14:paraId="32991AD6" w14:textId="77777777" w:rsidR="00506B38" w:rsidRDefault="00506B38" w:rsidP="00506B38">
      <w:pPr>
        <w:spacing w:before="120" w:after="120"/>
        <w:jc w:val="both"/>
      </w:pPr>
      <w:r w:rsidRPr="0061436D">
        <w:t>The CEOs of both agencies will determine if you are transferred or not.</w:t>
      </w:r>
    </w:p>
    <w:p w14:paraId="535B8A09" w14:textId="4FB39118" w:rsidR="00A87725" w:rsidRPr="008146FF" w:rsidRDefault="00A87725" w:rsidP="00506B38">
      <w:pPr>
        <w:spacing w:before="120" w:after="120"/>
        <w:jc w:val="both"/>
      </w:pPr>
      <w:r w:rsidRPr="008146FF">
        <w:t xml:space="preserve">For further information on your </w:t>
      </w:r>
      <w:r w:rsidR="008146FF" w:rsidRPr="008146FF">
        <w:t>situation,</w:t>
      </w:r>
      <w:r w:rsidRPr="008146FF">
        <w:t xml:space="preserve"> you should discuss with either your current manager or if you are a redeployee your assigned case manager in DCDD. Alternately you can seek information via </w:t>
      </w:r>
      <w:hyperlink r:id="rId11" w:history="1">
        <w:r w:rsidR="008146FF" w:rsidRPr="0097188E">
          <w:rPr>
            <w:rStyle w:val="Hyperlink"/>
          </w:rPr>
          <w:t>employee.relations@nt.gov.au</w:t>
        </w:r>
      </w:hyperlink>
      <w:r w:rsidR="008146FF">
        <w:t xml:space="preserve">. </w:t>
      </w:r>
    </w:p>
    <w:p w14:paraId="4A5CB5BA" w14:textId="77777777" w:rsidR="00506B38" w:rsidRPr="00506B38" w:rsidRDefault="00506B38" w:rsidP="00506B38">
      <w:pPr>
        <w:pStyle w:val="Heading1"/>
        <w:jc w:val="both"/>
      </w:pPr>
      <w:bookmarkStart w:id="11" w:name="_Toc176866182"/>
      <w:r w:rsidRPr="00506B38">
        <w:t>If the functions of my role transfer to the new agency will my duties in the new agency remain the same?</w:t>
      </w:r>
      <w:bookmarkEnd w:id="11"/>
    </w:p>
    <w:p w14:paraId="61B486C5" w14:textId="52EFEE45" w:rsidR="00506B38" w:rsidRDefault="00506B38" w:rsidP="00506B38">
      <w:pPr>
        <w:jc w:val="both"/>
      </w:pPr>
      <w:r w:rsidRPr="003A78BC">
        <w:t xml:space="preserve">If the functions of your role transfer to a new agency, your duties in the new agency may change. This will depend on </w:t>
      </w:r>
      <w:r w:rsidR="00793E74">
        <w:t>what structure and work focus is</w:t>
      </w:r>
      <w:r w:rsidRPr="003A78BC">
        <w:t xml:space="preserve"> required within the new agency.</w:t>
      </w:r>
    </w:p>
    <w:p w14:paraId="3FA16E46" w14:textId="75B02FDB" w:rsidR="00506B38" w:rsidRPr="003A78BC" w:rsidRDefault="00506B38" w:rsidP="00506B38">
      <w:pPr>
        <w:jc w:val="both"/>
      </w:pPr>
      <w:r w:rsidRPr="003A78BC">
        <w:t>When MoG is finalised, agencies may need to review the impact and a restructure of the organisation may be required.</w:t>
      </w:r>
      <w:r>
        <w:t xml:space="preserve"> </w:t>
      </w:r>
      <w:r w:rsidRPr="003A78BC">
        <w:t xml:space="preserve">However, if this does occur you </w:t>
      </w:r>
      <w:r w:rsidR="00793E74">
        <w:t xml:space="preserve">can expect to be </w:t>
      </w:r>
      <w:r w:rsidRPr="003A78BC">
        <w:t>consulted on the proposed changes.</w:t>
      </w:r>
    </w:p>
    <w:p w14:paraId="21374D4F" w14:textId="77777777" w:rsidR="00506B38" w:rsidRPr="00506B38" w:rsidRDefault="00506B38" w:rsidP="00506B38">
      <w:pPr>
        <w:pStyle w:val="Heading1"/>
        <w:jc w:val="both"/>
      </w:pPr>
      <w:bookmarkStart w:id="12" w:name="_Toc176866183"/>
      <w:r w:rsidRPr="00506B38">
        <w:t>What will happen if I am currently in a supernumerary role or undertaking special projects?</w:t>
      </w:r>
      <w:bookmarkEnd w:id="12"/>
    </w:p>
    <w:p w14:paraId="619D83C6" w14:textId="2D3C7D9C" w:rsidR="00506B38" w:rsidRPr="004A5E36" w:rsidRDefault="00506B38" w:rsidP="00506B38">
      <w:pPr>
        <w:jc w:val="both"/>
      </w:pPr>
      <w:r w:rsidRPr="004A5E36">
        <w:t>Your agency may need to review the role/special project and its functions to determine if there will be a transfer to a new agency or not.</w:t>
      </w:r>
      <w:r>
        <w:t xml:space="preserve"> </w:t>
      </w:r>
      <w:r w:rsidRPr="004A5E36">
        <w:t xml:space="preserve">Agencies are required to consult affected employees on the implementation of </w:t>
      </w:r>
      <w:r w:rsidR="00793E74">
        <w:t>any</w:t>
      </w:r>
      <w:r w:rsidRPr="004A5E36">
        <w:t xml:space="preserve"> changes.</w:t>
      </w:r>
    </w:p>
    <w:p w14:paraId="761F1354" w14:textId="77777777" w:rsidR="00506B38" w:rsidRPr="00506B38" w:rsidRDefault="00506B38" w:rsidP="00506B38">
      <w:pPr>
        <w:pStyle w:val="Heading1"/>
        <w:jc w:val="both"/>
      </w:pPr>
      <w:bookmarkStart w:id="13" w:name="_Toc176866184"/>
      <w:r w:rsidRPr="00506B38">
        <w:t>If I have a flexible working arrangement in place will this continue in the new agency?</w:t>
      </w:r>
      <w:bookmarkEnd w:id="13"/>
    </w:p>
    <w:p w14:paraId="2135752E" w14:textId="358C6500" w:rsidR="00506B38" w:rsidRPr="004A5E36" w:rsidRDefault="00506B38" w:rsidP="00506B38">
      <w:pPr>
        <w:jc w:val="both"/>
      </w:pPr>
      <w:r w:rsidRPr="004A5E36">
        <w:t xml:space="preserve">If your work functions and reporting lines change, your individual flexible working arrangement </w:t>
      </w:r>
      <w:r w:rsidR="003D5B12">
        <w:t xml:space="preserve">will </w:t>
      </w:r>
      <w:r w:rsidRPr="004A5E36">
        <w:t>need to be reviewed</w:t>
      </w:r>
      <w:r w:rsidR="00793E74">
        <w:t>.</w:t>
      </w:r>
      <w:r w:rsidRPr="004A5E36">
        <w:t xml:space="preserve"> Your agency will take into account any operational needs and your personal circumstances.</w:t>
      </w:r>
      <w:r>
        <w:t xml:space="preserve"> </w:t>
      </w:r>
      <w:r w:rsidRPr="004A5E36">
        <w:t>Each situation will be assessed on its own merits.</w:t>
      </w:r>
    </w:p>
    <w:p w14:paraId="2F94D2AE" w14:textId="3BC6F06C" w:rsidR="00506B38" w:rsidRPr="00506B38" w:rsidRDefault="00506B38" w:rsidP="00506B38">
      <w:pPr>
        <w:pStyle w:val="Heading1"/>
        <w:jc w:val="both"/>
      </w:pPr>
      <w:bookmarkStart w:id="14" w:name="_Toc176866185"/>
      <w:r w:rsidRPr="00506B38">
        <w:lastRenderedPageBreak/>
        <w:t>If my work location changes, will I be required to move (e.g. currently working in Darwin city and my location changes to Palmerston)?</w:t>
      </w:r>
      <w:bookmarkEnd w:id="14"/>
    </w:p>
    <w:p w14:paraId="7B6322F7" w14:textId="77777777" w:rsidR="00506B38" w:rsidRPr="009977A6" w:rsidRDefault="00506B38" w:rsidP="00506B38">
      <w:pPr>
        <w:jc w:val="both"/>
      </w:pPr>
      <w:r w:rsidRPr="009977A6">
        <w:t>You may be required to work in a new location if the functions of your role are transferred.</w:t>
      </w:r>
      <w:r>
        <w:t xml:space="preserve"> </w:t>
      </w:r>
      <w:r w:rsidRPr="009977A6">
        <w:t>However, your agency will consult with you prior to implementing any change.</w:t>
      </w:r>
    </w:p>
    <w:p w14:paraId="5C53A75A" w14:textId="49EC0A38" w:rsidR="00506B38" w:rsidRDefault="003C0841" w:rsidP="00506B38">
      <w:pPr>
        <w:pStyle w:val="Heading1"/>
        <w:rPr>
          <w:lang w:eastAsia="en-AU"/>
        </w:rPr>
      </w:pPr>
      <w:bookmarkStart w:id="15" w:name="_Toc176866186"/>
      <w:r>
        <w:rPr>
          <w:lang w:eastAsia="en-AU"/>
        </w:rPr>
        <w:t>Where can I get support?</w:t>
      </w:r>
      <w:bookmarkEnd w:id="15"/>
    </w:p>
    <w:p w14:paraId="5EB205DB" w14:textId="0B2B9B4F" w:rsidR="003C0841" w:rsidRDefault="003C0841" w:rsidP="003C0841">
      <w:pPr>
        <w:rPr>
          <w:lang w:eastAsia="en-AU"/>
        </w:rPr>
      </w:pPr>
      <w:r>
        <w:rPr>
          <w:lang w:eastAsia="en-AU"/>
        </w:rPr>
        <w:t xml:space="preserve">The Employee Assistance Program (EAP) provides all employees and immediate family members with professional and confidential counselling services free of charge. </w:t>
      </w:r>
    </w:p>
    <w:p w14:paraId="3333C460" w14:textId="72A4998F" w:rsidR="003C0841" w:rsidRPr="003C0841" w:rsidRDefault="003C0841" w:rsidP="003C0841">
      <w:pPr>
        <w:rPr>
          <w:lang w:eastAsia="en-AU"/>
        </w:rPr>
      </w:pPr>
      <w:r>
        <w:t xml:space="preserve">Further information can be found on NTG Central: </w:t>
      </w:r>
      <w:hyperlink r:id="rId12" w:history="1">
        <w:r>
          <w:rPr>
            <w:rStyle w:val="Hyperlink"/>
          </w:rPr>
          <w:t>Counselling services for employees | NTG Central</w:t>
        </w:r>
      </w:hyperlink>
    </w:p>
    <w:p w14:paraId="0545C8F0" w14:textId="0FFB9600" w:rsidR="00151EFD" w:rsidRPr="00DC6000" w:rsidRDefault="00151EFD" w:rsidP="00DC6000">
      <w:pPr>
        <w:pStyle w:val="Heading1"/>
        <w:rPr>
          <w:szCs w:val="36"/>
          <w:lang w:eastAsia="en-AU"/>
        </w:rPr>
      </w:pPr>
      <w:bookmarkStart w:id="16" w:name="_Toc176866187"/>
      <w:r w:rsidRPr="00DC6000">
        <w:rPr>
          <w:szCs w:val="36"/>
          <w:lang w:eastAsia="en-AU"/>
        </w:rPr>
        <w:t>Further information</w:t>
      </w:r>
      <w:bookmarkEnd w:id="16"/>
    </w:p>
    <w:p w14:paraId="20FB6F18" w14:textId="26F5902D" w:rsidR="00506B38" w:rsidRDefault="00506B38" w:rsidP="00C616A9">
      <w:pPr>
        <w:rPr>
          <w:lang w:eastAsia="en-AU"/>
        </w:rPr>
      </w:pPr>
      <w:r>
        <w:rPr>
          <w:lang w:eastAsia="en-AU"/>
        </w:rPr>
        <w:t>You can obtain further information by:</w:t>
      </w:r>
    </w:p>
    <w:p w14:paraId="2A92DA1D" w14:textId="6B0A698B" w:rsidR="00506B38" w:rsidRDefault="00506B38" w:rsidP="00506B38">
      <w:pPr>
        <w:pStyle w:val="ListParagraph"/>
        <w:numPr>
          <w:ilvl w:val="0"/>
          <w:numId w:val="20"/>
        </w:numPr>
        <w:rPr>
          <w:lang w:eastAsia="en-AU"/>
        </w:rPr>
      </w:pPr>
      <w:r>
        <w:rPr>
          <w:lang w:eastAsia="en-AU"/>
        </w:rPr>
        <w:t>speaking with your supervisor/line manager</w:t>
      </w:r>
      <w:r w:rsidR="00C577FF">
        <w:rPr>
          <w:lang w:eastAsia="en-AU"/>
        </w:rPr>
        <w:t>.</w:t>
      </w:r>
    </w:p>
    <w:p w14:paraId="5CB41029" w14:textId="14B12062" w:rsidR="00506B38" w:rsidRDefault="00506B38" w:rsidP="00506B38">
      <w:pPr>
        <w:pStyle w:val="ListParagraph"/>
        <w:numPr>
          <w:ilvl w:val="0"/>
          <w:numId w:val="20"/>
        </w:numPr>
        <w:rPr>
          <w:lang w:eastAsia="en-AU"/>
        </w:rPr>
      </w:pPr>
      <w:r>
        <w:rPr>
          <w:lang w:eastAsia="en-AU"/>
        </w:rPr>
        <w:t>contact your agency change management lead/</w:t>
      </w:r>
      <w:r w:rsidR="00C577FF">
        <w:rPr>
          <w:lang w:eastAsia="en-AU"/>
        </w:rPr>
        <w:t>committee.</w:t>
      </w:r>
      <w:r>
        <w:rPr>
          <w:lang w:eastAsia="en-AU"/>
        </w:rPr>
        <w:t xml:space="preserve"> </w:t>
      </w:r>
    </w:p>
    <w:p w14:paraId="2E7616A2" w14:textId="56893965" w:rsidR="00506B38" w:rsidRDefault="00506B38" w:rsidP="00506B38">
      <w:pPr>
        <w:pStyle w:val="ListParagraph"/>
        <w:numPr>
          <w:ilvl w:val="0"/>
          <w:numId w:val="20"/>
        </w:numPr>
        <w:rPr>
          <w:lang w:eastAsia="en-AU"/>
        </w:rPr>
      </w:pPr>
      <w:r>
        <w:rPr>
          <w:lang w:eastAsia="en-AU"/>
        </w:rPr>
        <w:t>contact Workforce Services, Department of Corporate and Digital Development, for queries in relation to terms and conditions of employment:</w:t>
      </w:r>
    </w:p>
    <w:p w14:paraId="03EF0F2E" w14:textId="05F86FDF" w:rsidR="00C616A9" w:rsidRPr="0036209B" w:rsidRDefault="00506B38" w:rsidP="00506B38">
      <w:pPr>
        <w:tabs>
          <w:tab w:val="left" w:pos="851"/>
        </w:tabs>
        <w:ind w:left="851" w:hanging="851"/>
        <w:rPr>
          <w:lang w:eastAsia="en-AU"/>
        </w:rPr>
      </w:pPr>
      <w:r>
        <w:rPr>
          <w:lang w:eastAsia="en-AU"/>
        </w:rPr>
        <w:tab/>
      </w:r>
      <w:r>
        <w:rPr>
          <w:lang w:eastAsia="en-AU"/>
        </w:rPr>
        <w:tab/>
      </w:r>
      <w:r w:rsidR="00C616A9" w:rsidRPr="00C577FF">
        <w:rPr>
          <w:rFonts w:asciiTheme="majorHAnsi" w:hAnsiTheme="majorHAnsi"/>
          <w:lang w:eastAsia="en-AU"/>
        </w:rPr>
        <w:t>Phone:</w:t>
      </w:r>
      <w:r w:rsidR="00C616A9">
        <w:rPr>
          <w:rFonts w:asciiTheme="majorHAnsi" w:hAnsiTheme="majorHAnsi"/>
          <w:color w:val="002060"/>
          <w:lang w:eastAsia="en-AU"/>
        </w:rPr>
        <w:tab/>
      </w:r>
      <w:r w:rsidR="009B5444">
        <w:rPr>
          <w:lang w:eastAsia="en-AU"/>
        </w:rPr>
        <w:t>1800 225 547</w:t>
      </w:r>
      <w:r w:rsidR="00C616A9">
        <w:rPr>
          <w:lang w:eastAsia="en-AU"/>
        </w:rPr>
        <w:br/>
      </w:r>
      <w:r w:rsidR="00C616A9" w:rsidRPr="00C577FF">
        <w:rPr>
          <w:rFonts w:asciiTheme="majorHAnsi" w:hAnsiTheme="majorHAnsi"/>
          <w:lang w:eastAsia="en-AU"/>
        </w:rPr>
        <w:t>Email:</w:t>
      </w:r>
      <w:r w:rsidR="00C616A9">
        <w:rPr>
          <w:rFonts w:asciiTheme="majorHAnsi" w:hAnsiTheme="majorHAnsi"/>
          <w:color w:val="002060"/>
          <w:lang w:eastAsia="en-AU"/>
        </w:rPr>
        <w:tab/>
      </w:r>
      <w:hyperlink r:id="rId13" w:history="1">
        <w:r w:rsidR="00C616A9" w:rsidRPr="00B33380">
          <w:rPr>
            <w:rStyle w:val="Hyperlink"/>
            <w:lang w:eastAsia="en-AU"/>
          </w:rPr>
          <w:t>workforceservices@nt.gov.au</w:t>
        </w:r>
      </w:hyperlink>
      <w:r w:rsidR="00C616A9">
        <w:rPr>
          <w:lang w:eastAsia="en-AU"/>
        </w:rPr>
        <w:br/>
      </w:r>
      <w:r w:rsidR="00C616A9" w:rsidRPr="00C577FF">
        <w:rPr>
          <w:rFonts w:asciiTheme="majorHAnsi" w:hAnsiTheme="majorHAnsi"/>
          <w:lang w:eastAsia="en-AU"/>
        </w:rPr>
        <w:t>Visit:</w:t>
      </w:r>
      <w:r w:rsidR="00C616A9">
        <w:rPr>
          <w:rFonts w:asciiTheme="majorHAnsi" w:hAnsiTheme="majorHAnsi"/>
          <w:color w:val="002060"/>
          <w:lang w:eastAsia="en-AU"/>
        </w:rPr>
        <w:tab/>
      </w:r>
      <w:r>
        <w:rPr>
          <w:rFonts w:asciiTheme="majorHAnsi" w:hAnsiTheme="majorHAnsi"/>
          <w:color w:val="002060"/>
          <w:lang w:eastAsia="en-AU"/>
        </w:rPr>
        <w:tab/>
      </w:r>
      <w:hyperlink r:id="rId14" w:history="1">
        <w:r w:rsidR="00C616A9" w:rsidRPr="0036209B">
          <w:rPr>
            <w:rStyle w:val="Hyperlink"/>
            <w:lang w:eastAsia="en-AU"/>
          </w:rPr>
          <w:t>HR Services Portal</w:t>
        </w:r>
      </w:hyperlink>
    </w:p>
    <w:p w14:paraId="052618AD" w14:textId="1EF540C9" w:rsidR="00C616A9" w:rsidRDefault="009B5444" w:rsidP="00506B38">
      <w:pPr>
        <w:pStyle w:val="ListParagraph"/>
        <w:numPr>
          <w:ilvl w:val="0"/>
          <w:numId w:val="21"/>
        </w:numPr>
        <w:rPr>
          <w:lang w:bidi="en-US"/>
        </w:rPr>
      </w:pPr>
      <w:r>
        <w:rPr>
          <w:lang w:bidi="en-US"/>
        </w:rPr>
        <w:t xml:space="preserve">going to the webpage: </w:t>
      </w:r>
      <w:hyperlink r:id="rId15" w:history="1">
        <w:r>
          <w:rPr>
            <w:rStyle w:val="Hyperlink"/>
          </w:rPr>
          <w:t>Machinery of government | Office of the Commissioner for Public Employment</w:t>
        </w:r>
      </w:hyperlink>
    </w:p>
    <w:p w14:paraId="3F6A8DAB" w14:textId="23FDED2B" w:rsidR="009B5444" w:rsidRPr="00996655" w:rsidRDefault="009B5444" w:rsidP="00506B38">
      <w:pPr>
        <w:pStyle w:val="ListParagraph"/>
        <w:numPr>
          <w:ilvl w:val="0"/>
          <w:numId w:val="21"/>
        </w:numPr>
        <w:rPr>
          <w:lang w:bidi="en-US"/>
        </w:rPr>
      </w:pPr>
      <w:r>
        <w:t xml:space="preserve">check the relevant enterprise agreement: </w:t>
      </w:r>
      <w:hyperlink r:id="rId16" w:history="1">
        <w:r>
          <w:rPr>
            <w:rStyle w:val="Hyperlink"/>
          </w:rPr>
          <w:t>Employment terms and conditions | Office of the Commissioner for Public Employment</w:t>
        </w:r>
      </w:hyperlink>
    </w:p>
    <w:sectPr w:rsidR="009B5444" w:rsidRPr="00996655" w:rsidSect="002253CF">
      <w:headerReference w:type="default" r:id="rId17"/>
      <w:footerReference w:type="default" r:id="rId18"/>
      <w:headerReference w:type="first" r:id="rId19"/>
      <w:footerReference w:type="first" r:id="rId20"/>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C7AB" w14:textId="77777777" w:rsidR="001A3B8B" w:rsidRDefault="001A3B8B" w:rsidP="007332FF">
      <w:r>
        <w:separator/>
      </w:r>
    </w:p>
  </w:endnote>
  <w:endnote w:type="continuationSeparator" w:id="0">
    <w:p w14:paraId="7F60BBED" w14:textId="77777777" w:rsidR="001A3B8B" w:rsidRDefault="001A3B8B"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AE6C"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69D9AB61" w14:textId="77777777" w:rsidTr="001D258A">
      <w:trPr>
        <w:cantSplit/>
        <w:trHeight w:hRule="exact" w:val="567"/>
      </w:trPr>
      <w:tc>
        <w:tcPr>
          <w:tcW w:w="10318" w:type="dxa"/>
          <w:vAlign w:val="bottom"/>
        </w:tcPr>
        <w:p w14:paraId="1D95163D" w14:textId="77777777" w:rsidR="00996655" w:rsidRPr="00750D2F" w:rsidRDefault="007967F9" w:rsidP="00996655">
          <w:pPr>
            <w:spacing w:after="0"/>
            <w:rPr>
              <w:rStyle w:val="PageNumber"/>
            </w:rPr>
          </w:pPr>
          <w:r>
            <w:rPr>
              <w:rStyle w:val="PageNumber"/>
            </w:rPr>
            <w:t>Office of the Commissioner for Public Employment</w:t>
          </w:r>
        </w:p>
        <w:p w14:paraId="7B82F40E" w14:textId="07FE9E9F"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17D25">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17D25">
            <w:rPr>
              <w:rStyle w:val="PageNumber"/>
              <w:noProof/>
            </w:rPr>
            <w:t>4</w:t>
          </w:r>
          <w:r w:rsidRPr="00AC4488">
            <w:rPr>
              <w:rStyle w:val="PageNumber"/>
            </w:rPr>
            <w:fldChar w:fldCharType="end"/>
          </w:r>
        </w:p>
      </w:tc>
    </w:tr>
  </w:tbl>
  <w:p w14:paraId="5E909076"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3D2" w14:textId="77777777" w:rsidR="00D15D88" w:rsidRDefault="00D15D88" w:rsidP="00C0326E">
    <w:pPr>
      <w:spacing w:after="0"/>
    </w:pPr>
  </w:p>
  <w:p w14:paraId="413E8952"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6A1A16C7" w14:textId="77777777" w:rsidTr="008921B4">
      <w:trPr>
        <w:cantSplit/>
        <w:trHeight w:hRule="exact" w:val="1134"/>
      </w:trPr>
      <w:tc>
        <w:tcPr>
          <w:tcW w:w="7767" w:type="dxa"/>
          <w:vAlign w:val="bottom"/>
        </w:tcPr>
        <w:p w14:paraId="1726D3F3" w14:textId="77777777" w:rsidR="00901430" w:rsidRPr="00901430" w:rsidRDefault="000E3862" w:rsidP="00C0326E">
          <w:pPr>
            <w:spacing w:after="0"/>
            <w:rPr>
              <w:rStyle w:val="PageNumber"/>
            </w:rPr>
          </w:pPr>
          <w:r>
            <w:rPr>
              <w:rStyle w:val="PageNumber"/>
            </w:rPr>
            <w:t>Office</w:t>
          </w:r>
          <w:r w:rsidR="00901430">
            <w:rPr>
              <w:rStyle w:val="PageNumber"/>
            </w:rPr>
            <w:t xml:space="preserve"> </w:t>
          </w:r>
          <w:r w:rsidR="002A2FA4">
            <w:rPr>
              <w:rStyle w:val="PageNumber"/>
            </w:rPr>
            <w:t>of the Commissioner for Public Employment</w:t>
          </w:r>
        </w:p>
        <w:p w14:paraId="479DDDDB" w14:textId="03DD5C43"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D17D25">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D17D25">
            <w:rPr>
              <w:rStyle w:val="PageNumber"/>
              <w:noProof/>
            </w:rPr>
            <w:t>4</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0E54E677" w14:textId="77777777" w:rsidR="00C0326E" w:rsidRPr="001E14EB" w:rsidRDefault="00C0326E" w:rsidP="00C0326E">
          <w:pPr>
            <w:spacing w:after="0"/>
            <w:jc w:val="right"/>
          </w:pPr>
          <w:r>
            <w:rPr>
              <w:noProof/>
              <w:lang w:eastAsia="en-AU"/>
            </w:rPr>
            <w:drawing>
              <wp:inline distT="0" distB="0" distL="0" distR="0" wp14:anchorId="6C9C297A" wp14:editId="3DF01BB1">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5E8CF4D"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317A" w14:textId="77777777" w:rsidR="001A3B8B" w:rsidRDefault="001A3B8B" w:rsidP="007332FF">
      <w:r>
        <w:separator/>
      </w:r>
    </w:p>
  </w:footnote>
  <w:footnote w:type="continuationSeparator" w:id="0">
    <w:p w14:paraId="76F92C27" w14:textId="77777777" w:rsidR="001A3B8B" w:rsidRDefault="001A3B8B"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90C" w14:textId="7441AD42" w:rsidR="00983000" w:rsidRPr="00162207" w:rsidRDefault="00000000"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584897">
          <w:t xml:space="preserve">Commissioner’s Information Sheet – </w:t>
        </w:r>
        <w:r w:rsidR="00060E88">
          <w:t>Machinery of Government Changes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DD95" w14:textId="3FBB8928" w:rsidR="00E908F1" w:rsidRPr="00DC6000" w:rsidRDefault="001B72D9" w:rsidP="00DC6000">
    <w:pPr>
      <w:pStyle w:val="Title"/>
      <w:numPr>
        <w:ilvl w:val="1"/>
        <w:numId w:val="0"/>
      </w:numPr>
      <w:spacing w:after="200"/>
      <w:rPr>
        <w:rStyle w:val="TitleChar"/>
      </w:rPr>
    </w:pPr>
    <w:r w:rsidRPr="00DC6000">
      <w:rPr>
        <w:rStyle w:val="TitleChar"/>
      </w:rPr>
      <w:t>Commissioner’s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432"/>
    <w:multiLevelType w:val="hybridMultilevel"/>
    <w:tmpl w:val="73CCCE3C"/>
    <w:lvl w:ilvl="0" w:tplc="0C090001">
      <w:start w:val="1"/>
      <w:numFmt w:val="bullet"/>
      <w:lvlText w:val=""/>
      <w:lvlJc w:val="left"/>
      <w:pPr>
        <w:ind w:left="5455" w:hanging="360"/>
      </w:pPr>
      <w:rPr>
        <w:rFonts w:ascii="Symbol" w:hAnsi="Symbol" w:hint="default"/>
      </w:rPr>
    </w:lvl>
    <w:lvl w:ilvl="1" w:tplc="0C090003" w:tentative="1">
      <w:start w:val="1"/>
      <w:numFmt w:val="bullet"/>
      <w:lvlText w:val="o"/>
      <w:lvlJc w:val="left"/>
      <w:pPr>
        <w:ind w:left="6175" w:hanging="360"/>
      </w:pPr>
      <w:rPr>
        <w:rFonts w:ascii="Courier New" w:hAnsi="Courier New" w:cs="Courier New" w:hint="default"/>
      </w:rPr>
    </w:lvl>
    <w:lvl w:ilvl="2" w:tplc="0C090005" w:tentative="1">
      <w:start w:val="1"/>
      <w:numFmt w:val="bullet"/>
      <w:lvlText w:val=""/>
      <w:lvlJc w:val="left"/>
      <w:pPr>
        <w:ind w:left="6895" w:hanging="360"/>
      </w:pPr>
      <w:rPr>
        <w:rFonts w:ascii="Wingdings" w:hAnsi="Wingdings" w:hint="default"/>
      </w:rPr>
    </w:lvl>
    <w:lvl w:ilvl="3" w:tplc="0C090001" w:tentative="1">
      <w:start w:val="1"/>
      <w:numFmt w:val="bullet"/>
      <w:lvlText w:val=""/>
      <w:lvlJc w:val="left"/>
      <w:pPr>
        <w:ind w:left="7615" w:hanging="360"/>
      </w:pPr>
      <w:rPr>
        <w:rFonts w:ascii="Symbol" w:hAnsi="Symbol" w:hint="default"/>
      </w:rPr>
    </w:lvl>
    <w:lvl w:ilvl="4" w:tplc="0C090003" w:tentative="1">
      <w:start w:val="1"/>
      <w:numFmt w:val="bullet"/>
      <w:lvlText w:val="o"/>
      <w:lvlJc w:val="left"/>
      <w:pPr>
        <w:ind w:left="8335" w:hanging="360"/>
      </w:pPr>
      <w:rPr>
        <w:rFonts w:ascii="Courier New" w:hAnsi="Courier New" w:cs="Courier New" w:hint="default"/>
      </w:rPr>
    </w:lvl>
    <w:lvl w:ilvl="5" w:tplc="0C090005" w:tentative="1">
      <w:start w:val="1"/>
      <w:numFmt w:val="bullet"/>
      <w:lvlText w:val=""/>
      <w:lvlJc w:val="left"/>
      <w:pPr>
        <w:ind w:left="9055" w:hanging="360"/>
      </w:pPr>
      <w:rPr>
        <w:rFonts w:ascii="Wingdings" w:hAnsi="Wingdings" w:hint="default"/>
      </w:rPr>
    </w:lvl>
    <w:lvl w:ilvl="6" w:tplc="0C090001" w:tentative="1">
      <w:start w:val="1"/>
      <w:numFmt w:val="bullet"/>
      <w:lvlText w:val=""/>
      <w:lvlJc w:val="left"/>
      <w:pPr>
        <w:ind w:left="9775" w:hanging="360"/>
      </w:pPr>
      <w:rPr>
        <w:rFonts w:ascii="Symbol" w:hAnsi="Symbol" w:hint="default"/>
      </w:rPr>
    </w:lvl>
    <w:lvl w:ilvl="7" w:tplc="0C090003" w:tentative="1">
      <w:start w:val="1"/>
      <w:numFmt w:val="bullet"/>
      <w:lvlText w:val="o"/>
      <w:lvlJc w:val="left"/>
      <w:pPr>
        <w:ind w:left="10495" w:hanging="360"/>
      </w:pPr>
      <w:rPr>
        <w:rFonts w:ascii="Courier New" w:hAnsi="Courier New" w:cs="Courier New" w:hint="default"/>
      </w:rPr>
    </w:lvl>
    <w:lvl w:ilvl="8" w:tplc="0C090005" w:tentative="1">
      <w:start w:val="1"/>
      <w:numFmt w:val="bullet"/>
      <w:lvlText w:val=""/>
      <w:lvlJc w:val="left"/>
      <w:pPr>
        <w:ind w:left="11215" w:hanging="360"/>
      </w:pPr>
      <w:rPr>
        <w:rFonts w:ascii="Wingdings" w:hAnsi="Wingdings" w:hint="default"/>
      </w:rPr>
    </w:lvl>
  </w:abstractNum>
  <w:abstractNum w:abstractNumId="1" w15:restartNumberingAfterBreak="0">
    <w:nsid w:val="0A727457"/>
    <w:multiLevelType w:val="hybridMultilevel"/>
    <w:tmpl w:val="18CE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4082B"/>
    <w:multiLevelType w:val="multilevel"/>
    <w:tmpl w:val="1E54E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18E6E1C"/>
    <w:multiLevelType w:val="hybridMultilevel"/>
    <w:tmpl w:val="D570B31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8E9043C"/>
    <w:multiLevelType w:val="hybridMultilevel"/>
    <w:tmpl w:val="5D7A90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1E234D8"/>
    <w:multiLevelType w:val="hybridMultilevel"/>
    <w:tmpl w:val="F6F0F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692BA7"/>
    <w:multiLevelType w:val="hybridMultilevel"/>
    <w:tmpl w:val="A512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AD355C8"/>
    <w:multiLevelType w:val="hybridMultilevel"/>
    <w:tmpl w:val="6B8A1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AC04FFC"/>
    <w:multiLevelType w:val="hybridMultilevel"/>
    <w:tmpl w:val="5BC28886"/>
    <w:lvl w:ilvl="0" w:tplc="87BE10D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9A5FFE"/>
    <w:multiLevelType w:val="multilevel"/>
    <w:tmpl w:val="0C78A7AC"/>
    <w:name w:val="NTG Table Bullet List33222222222222"/>
    <w:numStyleLink w:val="Tablebulletlist"/>
  </w:abstractNum>
  <w:abstractNum w:abstractNumId="38" w15:restartNumberingAfterBreak="0">
    <w:nsid w:val="5D444259"/>
    <w:multiLevelType w:val="multilevel"/>
    <w:tmpl w:val="0C78A7AC"/>
    <w:name w:val="NTG Table Bullet List332222"/>
    <w:numStyleLink w:val="Tablebulletlist"/>
  </w:abstractNum>
  <w:abstractNum w:abstractNumId="39" w15:restartNumberingAfterBreak="0">
    <w:nsid w:val="66686AD3"/>
    <w:multiLevelType w:val="hybridMultilevel"/>
    <w:tmpl w:val="DF402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62556"/>
    <w:multiLevelType w:val="multilevel"/>
    <w:tmpl w:val="3E5E177A"/>
    <w:name w:val="NTG Table Bullet List3322222222222222"/>
    <w:numStyleLink w:val="Tablenumberlist"/>
  </w:abstractNum>
  <w:abstractNum w:abstractNumId="41" w15:restartNumberingAfterBreak="0">
    <w:nsid w:val="6C9C58FD"/>
    <w:multiLevelType w:val="hybridMultilevel"/>
    <w:tmpl w:val="39EC7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2131D6"/>
    <w:multiLevelType w:val="hybridMultilevel"/>
    <w:tmpl w:val="3DEC0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031741"/>
    <w:multiLevelType w:val="hybridMultilevel"/>
    <w:tmpl w:val="98521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3664D"/>
    <w:multiLevelType w:val="multilevel"/>
    <w:tmpl w:val="0C78A7AC"/>
    <w:name w:val="NTG Table Bullet List3322222222222222222"/>
    <w:numStyleLink w:val="Tablebulletlist"/>
  </w:abstractNum>
  <w:abstractNum w:abstractNumId="45" w15:restartNumberingAfterBreak="0">
    <w:nsid w:val="76141D1E"/>
    <w:multiLevelType w:val="multilevel"/>
    <w:tmpl w:val="0C78A7AC"/>
    <w:name w:val="NTG Table Bullet List332222222222"/>
    <w:numStyleLink w:val="Tablebulletlist"/>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A403879"/>
    <w:multiLevelType w:val="hybridMultilevel"/>
    <w:tmpl w:val="E612ED8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5F6D80"/>
    <w:multiLevelType w:val="hybridMultilevel"/>
    <w:tmpl w:val="32C2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087334534">
    <w:abstractNumId w:val="23"/>
  </w:num>
  <w:num w:numId="2" w16cid:durableId="1603685863">
    <w:abstractNumId w:val="15"/>
  </w:num>
  <w:num w:numId="3" w16cid:durableId="449279223">
    <w:abstractNumId w:val="46"/>
  </w:num>
  <w:num w:numId="4" w16cid:durableId="785657545">
    <w:abstractNumId w:val="30"/>
  </w:num>
  <w:num w:numId="5" w16cid:durableId="1085540441">
    <w:abstractNumId w:val="19"/>
  </w:num>
  <w:num w:numId="6" w16cid:durableId="2084528546">
    <w:abstractNumId w:val="10"/>
  </w:num>
  <w:num w:numId="7" w16cid:durableId="1288318802">
    <w:abstractNumId w:val="32"/>
  </w:num>
  <w:num w:numId="8" w16cid:durableId="1636326064">
    <w:abstractNumId w:val="18"/>
  </w:num>
  <w:num w:numId="9" w16cid:durableId="1479371869">
    <w:abstractNumId w:val="0"/>
  </w:num>
  <w:num w:numId="10" w16cid:durableId="2137094180">
    <w:abstractNumId w:val="47"/>
  </w:num>
  <w:num w:numId="11" w16cid:durableId="1427536500">
    <w:abstractNumId w:val="14"/>
  </w:num>
  <w:num w:numId="12" w16cid:durableId="104689494">
    <w:abstractNumId w:val="43"/>
  </w:num>
  <w:num w:numId="13" w16cid:durableId="731002626">
    <w:abstractNumId w:val="42"/>
  </w:num>
  <w:num w:numId="14" w16cid:durableId="1701513645">
    <w:abstractNumId w:val="36"/>
  </w:num>
  <w:num w:numId="15" w16cid:durableId="122624827">
    <w:abstractNumId w:val="24"/>
  </w:num>
  <w:num w:numId="16" w16cid:durableId="187913324">
    <w:abstractNumId w:val="26"/>
  </w:num>
  <w:num w:numId="17" w16cid:durableId="1763915596">
    <w:abstractNumId w:val="48"/>
  </w:num>
  <w:num w:numId="18" w16cid:durableId="2075279523">
    <w:abstractNumId w:val="39"/>
  </w:num>
  <w:num w:numId="19" w16cid:durableId="1636058920">
    <w:abstractNumId w:val="1"/>
  </w:num>
  <w:num w:numId="20" w16cid:durableId="1306423739">
    <w:abstractNumId w:val="41"/>
  </w:num>
  <w:num w:numId="21" w16cid:durableId="792944454">
    <w:abstractNumId w:val="27"/>
  </w:num>
  <w:num w:numId="22" w16cid:durableId="2034305098">
    <w:abstractNumId w:val="2"/>
  </w:num>
  <w:num w:numId="23" w16cid:durableId="192999666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9C"/>
    <w:rsid w:val="00001DDF"/>
    <w:rsid w:val="0000322D"/>
    <w:rsid w:val="00007670"/>
    <w:rsid w:val="00010665"/>
    <w:rsid w:val="0001572F"/>
    <w:rsid w:val="0002393A"/>
    <w:rsid w:val="00027DB8"/>
    <w:rsid w:val="00031067"/>
    <w:rsid w:val="00031A96"/>
    <w:rsid w:val="00040BF3"/>
    <w:rsid w:val="0004211C"/>
    <w:rsid w:val="00046C59"/>
    <w:rsid w:val="00051362"/>
    <w:rsid w:val="00051F45"/>
    <w:rsid w:val="00052953"/>
    <w:rsid w:val="0005341A"/>
    <w:rsid w:val="0005465F"/>
    <w:rsid w:val="00056DEF"/>
    <w:rsid w:val="00056EDC"/>
    <w:rsid w:val="00060E88"/>
    <w:rsid w:val="0006635A"/>
    <w:rsid w:val="000720BE"/>
    <w:rsid w:val="0007259C"/>
    <w:rsid w:val="000727BD"/>
    <w:rsid w:val="00080202"/>
    <w:rsid w:val="00080DCD"/>
    <w:rsid w:val="00080E22"/>
    <w:rsid w:val="00082573"/>
    <w:rsid w:val="000840A3"/>
    <w:rsid w:val="00085062"/>
    <w:rsid w:val="00086A5F"/>
    <w:rsid w:val="000911EF"/>
    <w:rsid w:val="000962C5"/>
    <w:rsid w:val="00097865"/>
    <w:rsid w:val="000A4317"/>
    <w:rsid w:val="000A559C"/>
    <w:rsid w:val="000B2CA1"/>
    <w:rsid w:val="000B40C4"/>
    <w:rsid w:val="000C4351"/>
    <w:rsid w:val="000D1F29"/>
    <w:rsid w:val="000D633D"/>
    <w:rsid w:val="000D700B"/>
    <w:rsid w:val="000E342B"/>
    <w:rsid w:val="000E3862"/>
    <w:rsid w:val="000E3ED2"/>
    <w:rsid w:val="000E5DD2"/>
    <w:rsid w:val="000F2958"/>
    <w:rsid w:val="000F3850"/>
    <w:rsid w:val="000F604F"/>
    <w:rsid w:val="00104E7F"/>
    <w:rsid w:val="00107BB6"/>
    <w:rsid w:val="001137EC"/>
    <w:rsid w:val="00114404"/>
    <w:rsid w:val="001152F5"/>
    <w:rsid w:val="00115647"/>
    <w:rsid w:val="00117743"/>
    <w:rsid w:val="00117F5B"/>
    <w:rsid w:val="001270CC"/>
    <w:rsid w:val="00127715"/>
    <w:rsid w:val="00132658"/>
    <w:rsid w:val="00136D7D"/>
    <w:rsid w:val="00150DC0"/>
    <w:rsid w:val="00151EFD"/>
    <w:rsid w:val="00156CD4"/>
    <w:rsid w:val="0015794D"/>
    <w:rsid w:val="0016153B"/>
    <w:rsid w:val="00162207"/>
    <w:rsid w:val="00164A3E"/>
    <w:rsid w:val="00166FF6"/>
    <w:rsid w:val="00176123"/>
    <w:rsid w:val="00181620"/>
    <w:rsid w:val="00187130"/>
    <w:rsid w:val="001957AD"/>
    <w:rsid w:val="00196F8E"/>
    <w:rsid w:val="001A2B7F"/>
    <w:rsid w:val="001A3AFD"/>
    <w:rsid w:val="001A3B8B"/>
    <w:rsid w:val="001A43A3"/>
    <w:rsid w:val="001A496C"/>
    <w:rsid w:val="001A576A"/>
    <w:rsid w:val="001A7E8A"/>
    <w:rsid w:val="001B28DA"/>
    <w:rsid w:val="001B2B6C"/>
    <w:rsid w:val="001B72D9"/>
    <w:rsid w:val="001C0209"/>
    <w:rsid w:val="001D01C4"/>
    <w:rsid w:val="001D26D3"/>
    <w:rsid w:val="001D4F99"/>
    <w:rsid w:val="001D52B0"/>
    <w:rsid w:val="001D5A18"/>
    <w:rsid w:val="001D7CA4"/>
    <w:rsid w:val="001E057F"/>
    <w:rsid w:val="001E14EB"/>
    <w:rsid w:val="001F13C0"/>
    <w:rsid w:val="001F59E6"/>
    <w:rsid w:val="00203F1C"/>
    <w:rsid w:val="00206936"/>
    <w:rsid w:val="00206C6F"/>
    <w:rsid w:val="00206FBD"/>
    <w:rsid w:val="00207746"/>
    <w:rsid w:val="00210620"/>
    <w:rsid w:val="00221CDD"/>
    <w:rsid w:val="002253CF"/>
    <w:rsid w:val="00230031"/>
    <w:rsid w:val="00235C01"/>
    <w:rsid w:val="00236081"/>
    <w:rsid w:val="00247343"/>
    <w:rsid w:val="0025114A"/>
    <w:rsid w:val="00257318"/>
    <w:rsid w:val="00264EED"/>
    <w:rsid w:val="00265C56"/>
    <w:rsid w:val="002716CD"/>
    <w:rsid w:val="00271804"/>
    <w:rsid w:val="00274D4B"/>
    <w:rsid w:val="002806F5"/>
    <w:rsid w:val="00281577"/>
    <w:rsid w:val="002926BC"/>
    <w:rsid w:val="00293A72"/>
    <w:rsid w:val="00296230"/>
    <w:rsid w:val="002A0160"/>
    <w:rsid w:val="002A2FA4"/>
    <w:rsid w:val="002A30C3"/>
    <w:rsid w:val="002A5827"/>
    <w:rsid w:val="002A6F6A"/>
    <w:rsid w:val="002A7712"/>
    <w:rsid w:val="002A7FBB"/>
    <w:rsid w:val="002B2F61"/>
    <w:rsid w:val="002B38F7"/>
    <w:rsid w:val="002B4F50"/>
    <w:rsid w:val="002B5591"/>
    <w:rsid w:val="002B6AA4"/>
    <w:rsid w:val="002C1FE9"/>
    <w:rsid w:val="002D2655"/>
    <w:rsid w:val="002D3A57"/>
    <w:rsid w:val="002D7D05"/>
    <w:rsid w:val="002E20C8"/>
    <w:rsid w:val="002E4290"/>
    <w:rsid w:val="002E66A6"/>
    <w:rsid w:val="002E6B17"/>
    <w:rsid w:val="002F0DB1"/>
    <w:rsid w:val="002F2885"/>
    <w:rsid w:val="002F36EB"/>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209B"/>
    <w:rsid w:val="00363513"/>
    <w:rsid w:val="003657E5"/>
    <w:rsid w:val="0036589C"/>
    <w:rsid w:val="00371312"/>
    <w:rsid w:val="00371DC7"/>
    <w:rsid w:val="00377B21"/>
    <w:rsid w:val="00390CE3"/>
    <w:rsid w:val="00394876"/>
    <w:rsid w:val="00394AAF"/>
    <w:rsid w:val="00394CE5"/>
    <w:rsid w:val="003A6341"/>
    <w:rsid w:val="003B67FD"/>
    <w:rsid w:val="003B6A61"/>
    <w:rsid w:val="003C0841"/>
    <w:rsid w:val="003D0F63"/>
    <w:rsid w:val="003D42C0"/>
    <w:rsid w:val="003D5B12"/>
    <w:rsid w:val="003D5B29"/>
    <w:rsid w:val="003D7818"/>
    <w:rsid w:val="003E2445"/>
    <w:rsid w:val="003E3BB2"/>
    <w:rsid w:val="003F07F7"/>
    <w:rsid w:val="003F24C4"/>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A48BF"/>
    <w:rsid w:val="004B0C15"/>
    <w:rsid w:val="004B35EA"/>
    <w:rsid w:val="004B4A12"/>
    <w:rsid w:val="004B69E4"/>
    <w:rsid w:val="004C29CD"/>
    <w:rsid w:val="004C3ACC"/>
    <w:rsid w:val="004C6C39"/>
    <w:rsid w:val="004D075F"/>
    <w:rsid w:val="004D1B76"/>
    <w:rsid w:val="004D344E"/>
    <w:rsid w:val="004E019E"/>
    <w:rsid w:val="004E06EC"/>
    <w:rsid w:val="004E0A3F"/>
    <w:rsid w:val="004E2CB7"/>
    <w:rsid w:val="004F016A"/>
    <w:rsid w:val="004F5E21"/>
    <w:rsid w:val="00500F94"/>
    <w:rsid w:val="00502FB3"/>
    <w:rsid w:val="00503DE9"/>
    <w:rsid w:val="00504591"/>
    <w:rsid w:val="0050530C"/>
    <w:rsid w:val="00505DEA"/>
    <w:rsid w:val="00506B38"/>
    <w:rsid w:val="00507782"/>
    <w:rsid w:val="00512A04"/>
    <w:rsid w:val="00516221"/>
    <w:rsid w:val="00520499"/>
    <w:rsid w:val="005249F5"/>
    <w:rsid w:val="005260F7"/>
    <w:rsid w:val="00530D7D"/>
    <w:rsid w:val="00542EDA"/>
    <w:rsid w:val="0054316E"/>
    <w:rsid w:val="00543BD1"/>
    <w:rsid w:val="005456F1"/>
    <w:rsid w:val="00556113"/>
    <w:rsid w:val="00556D5F"/>
    <w:rsid w:val="00561CA1"/>
    <w:rsid w:val="00564C12"/>
    <w:rsid w:val="005654B8"/>
    <w:rsid w:val="005762CC"/>
    <w:rsid w:val="00582D3D"/>
    <w:rsid w:val="00584897"/>
    <w:rsid w:val="00590040"/>
    <w:rsid w:val="005902FB"/>
    <w:rsid w:val="00592E78"/>
    <w:rsid w:val="00595386"/>
    <w:rsid w:val="00597234"/>
    <w:rsid w:val="005A4AC0"/>
    <w:rsid w:val="005A5FDF"/>
    <w:rsid w:val="005B0FB7"/>
    <w:rsid w:val="005B122A"/>
    <w:rsid w:val="005B1E53"/>
    <w:rsid w:val="005B1FCB"/>
    <w:rsid w:val="005B5AC2"/>
    <w:rsid w:val="005B5E27"/>
    <w:rsid w:val="005C2833"/>
    <w:rsid w:val="005E1349"/>
    <w:rsid w:val="005E144D"/>
    <w:rsid w:val="005E1500"/>
    <w:rsid w:val="005E3A43"/>
    <w:rsid w:val="005E3FC4"/>
    <w:rsid w:val="005F0B17"/>
    <w:rsid w:val="005F77C7"/>
    <w:rsid w:val="00612027"/>
    <w:rsid w:val="006143B2"/>
    <w:rsid w:val="006165F9"/>
    <w:rsid w:val="00620675"/>
    <w:rsid w:val="00622910"/>
    <w:rsid w:val="006254B6"/>
    <w:rsid w:val="00627FC8"/>
    <w:rsid w:val="006433C3"/>
    <w:rsid w:val="00650F5B"/>
    <w:rsid w:val="00652772"/>
    <w:rsid w:val="006560ED"/>
    <w:rsid w:val="006647BE"/>
    <w:rsid w:val="00665639"/>
    <w:rsid w:val="006670D7"/>
    <w:rsid w:val="006719EA"/>
    <w:rsid w:val="00671F13"/>
    <w:rsid w:val="0067400A"/>
    <w:rsid w:val="006847AD"/>
    <w:rsid w:val="0069114B"/>
    <w:rsid w:val="006944C1"/>
    <w:rsid w:val="006A2AA8"/>
    <w:rsid w:val="006A2F2D"/>
    <w:rsid w:val="006A5795"/>
    <w:rsid w:val="006A756A"/>
    <w:rsid w:val="006C54E3"/>
    <w:rsid w:val="006D66F7"/>
    <w:rsid w:val="006D7C76"/>
    <w:rsid w:val="006F11A7"/>
    <w:rsid w:val="00705C9D"/>
    <w:rsid w:val="00705F13"/>
    <w:rsid w:val="00714F1D"/>
    <w:rsid w:val="00715225"/>
    <w:rsid w:val="0072075C"/>
    <w:rsid w:val="00720CC6"/>
    <w:rsid w:val="00722DDB"/>
    <w:rsid w:val="00724728"/>
    <w:rsid w:val="00724F98"/>
    <w:rsid w:val="00730B9B"/>
    <w:rsid w:val="0073182E"/>
    <w:rsid w:val="007332FF"/>
    <w:rsid w:val="007408F5"/>
    <w:rsid w:val="00741EAE"/>
    <w:rsid w:val="00750D2F"/>
    <w:rsid w:val="007526B2"/>
    <w:rsid w:val="00755248"/>
    <w:rsid w:val="0076190B"/>
    <w:rsid w:val="00763448"/>
    <w:rsid w:val="0076355D"/>
    <w:rsid w:val="00763A2D"/>
    <w:rsid w:val="00764368"/>
    <w:rsid w:val="007670BC"/>
    <w:rsid w:val="007676A4"/>
    <w:rsid w:val="00775A9D"/>
    <w:rsid w:val="00777795"/>
    <w:rsid w:val="00783A57"/>
    <w:rsid w:val="00784C92"/>
    <w:rsid w:val="007859CD"/>
    <w:rsid w:val="00785C24"/>
    <w:rsid w:val="007907E4"/>
    <w:rsid w:val="00793E74"/>
    <w:rsid w:val="00796461"/>
    <w:rsid w:val="007967F9"/>
    <w:rsid w:val="007A6A4F"/>
    <w:rsid w:val="007B03F5"/>
    <w:rsid w:val="007B4E35"/>
    <w:rsid w:val="007B5928"/>
    <w:rsid w:val="007B5C09"/>
    <w:rsid w:val="007B5DA2"/>
    <w:rsid w:val="007C0966"/>
    <w:rsid w:val="007C19E7"/>
    <w:rsid w:val="007C5CFD"/>
    <w:rsid w:val="007C69DD"/>
    <w:rsid w:val="007C6D9F"/>
    <w:rsid w:val="007D4893"/>
    <w:rsid w:val="007E128D"/>
    <w:rsid w:val="007E70CF"/>
    <w:rsid w:val="007E74A4"/>
    <w:rsid w:val="007F1B6F"/>
    <w:rsid w:val="007F263F"/>
    <w:rsid w:val="008015A8"/>
    <w:rsid w:val="00804788"/>
    <w:rsid w:val="0080766E"/>
    <w:rsid w:val="00811169"/>
    <w:rsid w:val="008146FF"/>
    <w:rsid w:val="00815297"/>
    <w:rsid w:val="008170DB"/>
    <w:rsid w:val="00817BA1"/>
    <w:rsid w:val="008205BC"/>
    <w:rsid w:val="00823022"/>
    <w:rsid w:val="00823788"/>
    <w:rsid w:val="00824ED0"/>
    <w:rsid w:val="0082634E"/>
    <w:rsid w:val="008313C4"/>
    <w:rsid w:val="00835434"/>
    <w:rsid w:val="008358C0"/>
    <w:rsid w:val="00837842"/>
    <w:rsid w:val="0084080D"/>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10F2"/>
    <w:rsid w:val="008B529E"/>
    <w:rsid w:val="008C0D34"/>
    <w:rsid w:val="008C17FB"/>
    <w:rsid w:val="008C70BB"/>
    <w:rsid w:val="008D1B00"/>
    <w:rsid w:val="008D278B"/>
    <w:rsid w:val="008D57B8"/>
    <w:rsid w:val="008E03FC"/>
    <w:rsid w:val="008E510B"/>
    <w:rsid w:val="008F422B"/>
    <w:rsid w:val="00901430"/>
    <w:rsid w:val="00902B13"/>
    <w:rsid w:val="00911941"/>
    <w:rsid w:val="00912246"/>
    <w:rsid w:val="0092024D"/>
    <w:rsid w:val="00925146"/>
    <w:rsid w:val="00925F0F"/>
    <w:rsid w:val="00932F6B"/>
    <w:rsid w:val="0094598C"/>
    <w:rsid w:val="009468BC"/>
    <w:rsid w:val="00947FAE"/>
    <w:rsid w:val="00953762"/>
    <w:rsid w:val="00954F16"/>
    <w:rsid w:val="009616DF"/>
    <w:rsid w:val="00963E4F"/>
    <w:rsid w:val="0096542F"/>
    <w:rsid w:val="00967201"/>
    <w:rsid w:val="00967FA7"/>
    <w:rsid w:val="00971645"/>
    <w:rsid w:val="00971C7D"/>
    <w:rsid w:val="0097688B"/>
    <w:rsid w:val="00977919"/>
    <w:rsid w:val="00982E27"/>
    <w:rsid w:val="00983000"/>
    <w:rsid w:val="0098546E"/>
    <w:rsid w:val="009870FA"/>
    <w:rsid w:val="009921C3"/>
    <w:rsid w:val="0099551D"/>
    <w:rsid w:val="00996655"/>
    <w:rsid w:val="009A5897"/>
    <w:rsid w:val="009A5F24"/>
    <w:rsid w:val="009A7148"/>
    <w:rsid w:val="009B0B3E"/>
    <w:rsid w:val="009B1913"/>
    <w:rsid w:val="009B5444"/>
    <w:rsid w:val="009B6657"/>
    <w:rsid w:val="009B6966"/>
    <w:rsid w:val="009D0EB5"/>
    <w:rsid w:val="009D14F9"/>
    <w:rsid w:val="009D2B74"/>
    <w:rsid w:val="009D63FF"/>
    <w:rsid w:val="009E072C"/>
    <w:rsid w:val="009E175D"/>
    <w:rsid w:val="009E3CC2"/>
    <w:rsid w:val="009F06BD"/>
    <w:rsid w:val="009F2A4D"/>
    <w:rsid w:val="00A00828"/>
    <w:rsid w:val="00A01392"/>
    <w:rsid w:val="00A03290"/>
    <w:rsid w:val="00A0387E"/>
    <w:rsid w:val="00A05BFD"/>
    <w:rsid w:val="00A07490"/>
    <w:rsid w:val="00A10655"/>
    <w:rsid w:val="00A12A2D"/>
    <w:rsid w:val="00A12B64"/>
    <w:rsid w:val="00A22C38"/>
    <w:rsid w:val="00A25193"/>
    <w:rsid w:val="00A26E80"/>
    <w:rsid w:val="00A31AE8"/>
    <w:rsid w:val="00A3739D"/>
    <w:rsid w:val="00A37DDA"/>
    <w:rsid w:val="00A45005"/>
    <w:rsid w:val="00A50A41"/>
    <w:rsid w:val="00A55A62"/>
    <w:rsid w:val="00A56F82"/>
    <w:rsid w:val="00A66857"/>
    <w:rsid w:val="00A7479C"/>
    <w:rsid w:val="00A76790"/>
    <w:rsid w:val="00A80CF1"/>
    <w:rsid w:val="00A87725"/>
    <w:rsid w:val="00A925EC"/>
    <w:rsid w:val="00A929AA"/>
    <w:rsid w:val="00A92B6B"/>
    <w:rsid w:val="00AA541E"/>
    <w:rsid w:val="00AB5413"/>
    <w:rsid w:val="00AC17D2"/>
    <w:rsid w:val="00AC767A"/>
    <w:rsid w:val="00AD0DA4"/>
    <w:rsid w:val="00AD4169"/>
    <w:rsid w:val="00AE25C6"/>
    <w:rsid w:val="00AE306C"/>
    <w:rsid w:val="00AE3279"/>
    <w:rsid w:val="00AF28C1"/>
    <w:rsid w:val="00B02EF1"/>
    <w:rsid w:val="00B07C97"/>
    <w:rsid w:val="00B11C67"/>
    <w:rsid w:val="00B15754"/>
    <w:rsid w:val="00B2046E"/>
    <w:rsid w:val="00B20E8B"/>
    <w:rsid w:val="00B257E1"/>
    <w:rsid w:val="00B2599A"/>
    <w:rsid w:val="00B27458"/>
    <w:rsid w:val="00B27AC4"/>
    <w:rsid w:val="00B343CC"/>
    <w:rsid w:val="00B5084A"/>
    <w:rsid w:val="00B563AF"/>
    <w:rsid w:val="00B606A1"/>
    <w:rsid w:val="00B614F7"/>
    <w:rsid w:val="00B61B26"/>
    <w:rsid w:val="00B65E6B"/>
    <w:rsid w:val="00B675B2"/>
    <w:rsid w:val="00B77A59"/>
    <w:rsid w:val="00B81261"/>
    <w:rsid w:val="00B8223E"/>
    <w:rsid w:val="00B832AE"/>
    <w:rsid w:val="00B86678"/>
    <w:rsid w:val="00B87BBA"/>
    <w:rsid w:val="00B92F9B"/>
    <w:rsid w:val="00B93DB1"/>
    <w:rsid w:val="00B941B3"/>
    <w:rsid w:val="00B96513"/>
    <w:rsid w:val="00BA09F3"/>
    <w:rsid w:val="00BA1D47"/>
    <w:rsid w:val="00BA66F0"/>
    <w:rsid w:val="00BB2239"/>
    <w:rsid w:val="00BB2AE7"/>
    <w:rsid w:val="00BB36C4"/>
    <w:rsid w:val="00BB5E57"/>
    <w:rsid w:val="00BB6464"/>
    <w:rsid w:val="00BC1BB8"/>
    <w:rsid w:val="00BD5A76"/>
    <w:rsid w:val="00BD738B"/>
    <w:rsid w:val="00BD7FE1"/>
    <w:rsid w:val="00BE37CA"/>
    <w:rsid w:val="00BE6144"/>
    <w:rsid w:val="00BE635A"/>
    <w:rsid w:val="00BF0B1E"/>
    <w:rsid w:val="00BF17E9"/>
    <w:rsid w:val="00BF2ABB"/>
    <w:rsid w:val="00BF5099"/>
    <w:rsid w:val="00C0326E"/>
    <w:rsid w:val="00C10F10"/>
    <w:rsid w:val="00C15D4D"/>
    <w:rsid w:val="00C175DC"/>
    <w:rsid w:val="00C30171"/>
    <w:rsid w:val="00C309D8"/>
    <w:rsid w:val="00C322B4"/>
    <w:rsid w:val="00C357F6"/>
    <w:rsid w:val="00C40D01"/>
    <w:rsid w:val="00C43519"/>
    <w:rsid w:val="00C45263"/>
    <w:rsid w:val="00C470D5"/>
    <w:rsid w:val="00C51537"/>
    <w:rsid w:val="00C52BC3"/>
    <w:rsid w:val="00C52E0E"/>
    <w:rsid w:val="00C55B5A"/>
    <w:rsid w:val="00C568DC"/>
    <w:rsid w:val="00C577FF"/>
    <w:rsid w:val="00C616A9"/>
    <w:rsid w:val="00C61AFA"/>
    <w:rsid w:val="00C61D64"/>
    <w:rsid w:val="00C62099"/>
    <w:rsid w:val="00C64EA3"/>
    <w:rsid w:val="00C72867"/>
    <w:rsid w:val="00C75E81"/>
    <w:rsid w:val="00C86609"/>
    <w:rsid w:val="00C92B4C"/>
    <w:rsid w:val="00C954F6"/>
    <w:rsid w:val="00C96890"/>
    <w:rsid w:val="00CA36A0"/>
    <w:rsid w:val="00CA6BC5"/>
    <w:rsid w:val="00CB3D5A"/>
    <w:rsid w:val="00CC571B"/>
    <w:rsid w:val="00CC61CD"/>
    <w:rsid w:val="00CC6C02"/>
    <w:rsid w:val="00CC737B"/>
    <w:rsid w:val="00CC7628"/>
    <w:rsid w:val="00CD1B36"/>
    <w:rsid w:val="00CD5011"/>
    <w:rsid w:val="00CE640F"/>
    <w:rsid w:val="00CE76BC"/>
    <w:rsid w:val="00CF4304"/>
    <w:rsid w:val="00CF5119"/>
    <w:rsid w:val="00CF540E"/>
    <w:rsid w:val="00D02F07"/>
    <w:rsid w:val="00D04706"/>
    <w:rsid w:val="00D15D88"/>
    <w:rsid w:val="00D17D25"/>
    <w:rsid w:val="00D24C08"/>
    <w:rsid w:val="00D27EBE"/>
    <w:rsid w:val="00D36A49"/>
    <w:rsid w:val="00D40B02"/>
    <w:rsid w:val="00D517C6"/>
    <w:rsid w:val="00D61FD1"/>
    <w:rsid w:val="00D66E84"/>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2CBF"/>
    <w:rsid w:val="00DC3117"/>
    <w:rsid w:val="00DC5DD9"/>
    <w:rsid w:val="00DC6000"/>
    <w:rsid w:val="00DC6D2D"/>
    <w:rsid w:val="00DD30E2"/>
    <w:rsid w:val="00DD4E59"/>
    <w:rsid w:val="00DE086A"/>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1C3C"/>
    <w:rsid w:val="00E33136"/>
    <w:rsid w:val="00E34D7C"/>
    <w:rsid w:val="00E36941"/>
    <w:rsid w:val="00E3723D"/>
    <w:rsid w:val="00E44B8A"/>
    <w:rsid w:val="00E44C89"/>
    <w:rsid w:val="00E457A6"/>
    <w:rsid w:val="00E47EC8"/>
    <w:rsid w:val="00E52375"/>
    <w:rsid w:val="00E61BA2"/>
    <w:rsid w:val="00E63864"/>
    <w:rsid w:val="00E6403F"/>
    <w:rsid w:val="00E75451"/>
    <w:rsid w:val="00E770C4"/>
    <w:rsid w:val="00E84C5A"/>
    <w:rsid w:val="00E861DB"/>
    <w:rsid w:val="00E908F1"/>
    <w:rsid w:val="00E93406"/>
    <w:rsid w:val="00E93564"/>
    <w:rsid w:val="00E9402C"/>
    <w:rsid w:val="00E956C5"/>
    <w:rsid w:val="00E95C39"/>
    <w:rsid w:val="00EA2C39"/>
    <w:rsid w:val="00EB0A3C"/>
    <w:rsid w:val="00EB0A96"/>
    <w:rsid w:val="00EB164C"/>
    <w:rsid w:val="00EB1D82"/>
    <w:rsid w:val="00EB6BF4"/>
    <w:rsid w:val="00EB77F9"/>
    <w:rsid w:val="00EC2B9E"/>
    <w:rsid w:val="00EC46CB"/>
    <w:rsid w:val="00EC5769"/>
    <w:rsid w:val="00EC7D00"/>
    <w:rsid w:val="00ED0304"/>
    <w:rsid w:val="00ED5B7B"/>
    <w:rsid w:val="00EE38FA"/>
    <w:rsid w:val="00EE3E2C"/>
    <w:rsid w:val="00EE5D23"/>
    <w:rsid w:val="00EE74DF"/>
    <w:rsid w:val="00EE750D"/>
    <w:rsid w:val="00EF3CA4"/>
    <w:rsid w:val="00EF7362"/>
    <w:rsid w:val="00EF7859"/>
    <w:rsid w:val="00F011D6"/>
    <w:rsid w:val="00F014DA"/>
    <w:rsid w:val="00F02591"/>
    <w:rsid w:val="00F04BF1"/>
    <w:rsid w:val="00F135A5"/>
    <w:rsid w:val="00F247F1"/>
    <w:rsid w:val="00F513A2"/>
    <w:rsid w:val="00F547B4"/>
    <w:rsid w:val="00F5696E"/>
    <w:rsid w:val="00F60EFF"/>
    <w:rsid w:val="00F67D2D"/>
    <w:rsid w:val="00F858F2"/>
    <w:rsid w:val="00F860CC"/>
    <w:rsid w:val="00F94398"/>
    <w:rsid w:val="00F978F1"/>
    <w:rsid w:val="00FA54D3"/>
    <w:rsid w:val="00FA7793"/>
    <w:rsid w:val="00FB10B0"/>
    <w:rsid w:val="00FB2B56"/>
    <w:rsid w:val="00FB55D5"/>
    <w:rsid w:val="00FB592F"/>
    <w:rsid w:val="00FC12BF"/>
    <w:rsid w:val="00FC2C60"/>
    <w:rsid w:val="00FD3E6F"/>
    <w:rsid w:val="00FD51B9"/>
    <w:rsid w:val="00FD5849"/>
    <w:rsid w:val="00FE1B1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23FDA"/>
  <w15:docId w15:val="{39095AF9-A7DC-4EF5-BA02-D53D003D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Recommendation,NFP GP Bulleted List,List Paragraph1,Bullet table,List Paragraph11,#List Paragraph,Normal + Dash,List Paragraph111,L,F5 List Paragraph,Dot pt,CV text,Table text,Medium Grid 1 - Accent 21,Numbered Paragraph,List Paragraph2,列"/>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rsid w:val="00271804"/>
    <w:pPr>
      <w:tabs>
        <w:tab w:val="left" w:pos="567"/>
        <w:tab w:val="right" w:leader="dot" w:pos="10308"/>
      </w:tabs>
      <w:spacing w:after="6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6209B"/>
    <w:rPr>
      <w:color w:val="8C4799" w:themeColor="followedHyperlink"/>
      <w:u w:val="single"/>
    </w:rPr>
  </w:style>
  <w:style w:type="paragraph" w:customStyle="1" w:styleId="Default">
    <w:name w:val="Default"/>
    <w:rsid w:val="00665639"/>
    <w:pPr>
      <w:autoSpaceDE w:val="0"/>
      <w:autoSpaceDN w:val="0"/>
      <w:adjustRightInd w:val="0"/>
      <w:spacing w:after="0"/>
    </w:pPr>
    <w:rPr>
      <w:rFonts w:ascii="Lato" w:hAnsi="Lato" w:cs="Lato"/>
      <w:color w:val="000000"/>
      <w:sz w:val="24"/>
      <w:szCs w:val="24"/>
    </w:rPr>
  </w:style>
  <w:style w:type="character" w:styleId="CommentReference">
    <w:name w:val="annotation reference"/>
    <w:basedOn w:val="DefaultParagraphFont"/>
    <w:uiPriority w:val="99"/>
    <w:semiHidden/>
    <w:unhideWhenUsed/>
    <w:rsid w:val="00652772"/>
    <w:rPr>
      <w:sz w:val="16"/>
      <w:szCs w:val="16"/>
    </w:rPr>
  </w:style>
  <w:style w:type="paragraph" w:styleId="CommentText">
    <w:name w:val="annotation text"/>
    <w:basedOn w:val="Normal"/>
    <w:link w:val="CommentTextChar"/>
    <w:uiPriority w:val="99"/>
    <w:unhideWhenUsed/>
    <w:rsid w:val="00652772"/>
    <w:rPr>
      <w:sz w:val="20"/>
      <w:szCs w:val="20"/>
    </w:rPr>
  </w:style>
  <w:style w:type="character" w:customStyle="1" w:styleId="CommentTextChar">
    <w:name w:val="Comment Text Char"/>
    <w:basedOn w:val="DefaultParagraphFont"/>
    <w:link w:val="CommentText"/>
    <w:uiPriority w:val="99"/>
    <w:rsid w:val="0065277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652772"/>
    <w:rPr>
      <w:b/>
      <w:bCs/>
    </w:rPr>
  </w:style>
  <w:style w:type="character" w:customStyle="1" w:styleId="CommentSubjectChar">
    <w:name w:val="Comment Subject Char"/>
    <w:basedOn w:val="CommentTextChar"/>
    <w:link w:val="CommentSubject"/>
    <w:uiPriority w:val="99"/>
    <w:semiHidden/>
    <w:rsid w:val="00652772"/>
    <w:rPr>
      <w:rFonts w:ascii="Lato" w:hAnsi="Lato"/>
      <w:b/>
      <w:bCs/>
      <w:sz w:val="20"/>
      <w:szCs w:val="20"/>
    </w:rPr>
  </w:style>
  <w:style w:type="character" w:styleId="UnresolvedMention">
    <w:name w:val="Unresolved Mention"/>
    <w:basedOn w:val="DefaultParagraphFont"/>
    <w:uiPriority w:val="99"/>
    <w:semiHidden/>
    <w:unhideWhenUsed/>
    <w:rsid w:val="00506B38"/>
    <w:rPr>
      <w:color w:val="605E5C"/>
      <w:shd w:val="clear" w:color="auto" w:fill="E1DFDD"/>
    </w:rPr>
  </w:style>
  <w:style w:type="character" w:customStyle="1" w:styleId="ListParagraphChar">
    <w:name w:val="List Paragraph Char"/>
    <w:aliases w:val="Recommendation Char,NFP GP Bulleted List Char,List Paragraph1 Char,Bullet table Char,List Paragraph11 Char,#List Paragraph Char,Normal + Dash Char,List Paragraph111 Char,L Char,F5 List Paragraph Char,Dot pt Char,CV text Char,列 Char"/>
    <w:basedOn w:val="DefaultParagraphFont"/>
    <w:link w:val="ListParagraph"/>
    <w:uiPriority w:val="34"/>
    <w:locked/>
    <w:rsid w:val="00031067"/>
    <w:rPr>
      <w:rFonts w:ascii="Lato" w:eastAsiaTheme="minorEastAsia" w:hAnsi="Lato"/>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orkforceservices@nt.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tgcentral.nt.gov.au/my-job/health-safety-and-wellbeing/counselling-employ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cpe.nt.gov.au/employment-terms-and-condi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ployee.relations@nt.gov.au" TargetMode="External"/><Relationship Id="rId5" Type="http://schemas.openxmlformats.org/officeDocument/2006/relationships/settings" Target="settings.xml"/><Relationship Id="rId15" Type="http://schemas.openxmlformats.org/officeDocument/2006/relationships/hyperlink" Target="https://ocpe.nt.gov.au/working-in-the-public-sector/manage-change/machinery-of-government" TargetMode="External"/><Relationship Id="rId10" Type="http://schemas.openxmlformats.org/officeDocument/2006/relationships/hyperlink" Target="https://legislation.nt.gov.au/en/Legislation/ADMINISTRATIVE-ARRANGEMENTS-ORDER"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ocpe.nt.gov.au/employment-conditions-appeals-grievances/current-enterprise-agreements" TargetMode="External"/><Relationship Id="rId14" Type="http://schemas.openxmlformats.org/officeDocument/2006/relationships/hyperlink" Target="https://jira.nt.gov.au/servicedesk/customer/portal/4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FEE139-ACE5-4866-B82A-F898C475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0</TotalTime>
  <Pages>5</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Commissioner’s Information Sheet – Machinery of Government Changes</vt:lpstr>
    </vt:vector>
  </TitlesOfParts>
  <Company>&lt;NAME&gt;</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Information Sheet – Machinery of Government Changes</dc:title>
  <dc:creator>Office of the Commissioner for Public Employment</dc:creator>
  <cp:lastModifiedBy>Vanessa Madrill</cp:lastModifiedBy>
  <cp:revision>2</cp:revision>
  <cp:lastPrinted>2022-11-16T23:13:00Z</cp:lastPrinted>
  <dcterms:created xsi:type="dcterms:W3CDTF">2024-09-11T22:12:00Z</dcterms:created>
  <dcterms:modified xsi:type="dcterms:W3CDTF">2024-09-11T22:12:00Z</dcterms:modified>
</cp:coreProperties>
</file>